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128905</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155575</wp:posOffset>
            </wp:positionV>
            <wp:extent cx="1619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187960</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9"/>
          <w:szCs w:val="39"/>
          <w:b w:val="1"/>
          <w:bCs w:val="1"/>
          <w:color w:val="auto"/>
        </w:rPr>
        <w:t>APA CORPORATION</w:t>
      </w: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189230</wp:posOffset>
            </wp:positionV>
            <wp:extent cx="1619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001-40144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86-1430562</w:t>
      </w:r>
    </w:p>
    <w:p>
      <w:pPr>
        <w:spacing w:after="0" w:line="30" w:lineRule="exact"/>
        <w:rPr>
          <w:sz w:val="24"/>
          <w:szCs w:val="24"/>
          <w:color w:val="auto"/>
        </w:rPr>
      </w:pPr>
    </w:p>
    <w:p>
      <w:pPr>
        <w:sectPr>
          <w:pgSz w:w="11900" w:h="16838" w:orient="portrait"/>
          <w:cols w:equalWidth="0" w:num="3">
            <w:col w:w="4640" w:space="720"/>
            <w:col w:w="1860" w:space="720"/>
            <w:col w:w="3240"/>
          </w:cols>
          <w:pgMar w:left="320" w:top="857" w:right="399" w:bottom="1440" w:gutter="0" w:footer="0" w:header="0"/>
          <w:type w:val="continuous"/>
        </w:sectPr>
      </w:pPr>
    </w:p>
    <w:p>
      <w:pPr>
        <w:jc w:val="center"/>
        <w:ind w:left="144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left="144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22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560" w:space="720"/>
            <w:col w:w="1740" w:space="720"/>
            <w:col w:w="3440"/>
          </w:cols>
          <w:pgMar w:left="320" w:top="857" w:right="399" w:bottom="1440"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2000 W Sam Houston Pkwy S, Suite 200</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Houston, Texas 77042-3643</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ectPr>
          <w:pgSz w:w="11900" w:h="16838" w:orient="portrait"/>
          <w:cols w:equalWidth="0" w:num="1">
            <w:col w:w="11180"/>
          </w:cols>
          <w:pgMar w:left="320" w:top="857" w:right="399" w:bottom="1440" w:gutter="0" w:footer="0" w:header="0"/>
          <w:type w:val="continuous"/>
        </w:sectPr>
      </w:pPr>
    </w:p>
    <w:p>
      <w:pPr>
        <w:spacing w:after="0" w:line="2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144780</wp:posOffset>
            </wp:positionV>
            <wp:extent cx="1619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Trading</w:t>
            </w: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w:t>
            </w: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5"/>
              </w:rPr>
              <w:t>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on which registered</w:t>
            </w:r>
          </w:p>
        </w:tc>
      </w:tr>
      <w:tr>
        <w:trPr>
          <w:trHeight w:val="21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$0.625 par value</w:t>
            </w:r>
          </w:p>
        </w:tc>
        <w:tc>
          <w:tcPr>
            <w:tcW w:w="16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APA</w:t>
            </w:r>
          </w:p>
        </w:tc>
        <w:tc>
          <w:tcPr>
            <w:tcW w:w="12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214"/>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Texas, LLC</w:t>
            </w:r>
          </w:p>
        </w:tc>
      </w:tr>
    </w:tbl>
    <w:p>
      <w:pPr>
        <w:spacing w:after="0" w:line="33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5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5.02</w:t>
        <w:tab/>
        <w:t>Departure of Directors or Certain Officers; Election of Directors; Appointment of Certain Officers; Compensatory Arrangements of Certain Officers.</w:t>
      </w:r>
    </w:p>
    <w:p>
      <w:pPr>
        <w:spacing w:after="0" w:line="25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On May 21, 2026, APA Corporation (the “Company”) held its 2026 annual meeting of shareholders (the “Annual Meeting”). At the Annual Meeting, the Company’s shareholders approved the Third Amendment (the “Amendment”) to the Company’s 2016 Omnibus Compensation Plan, as amended (the “2016 Plan”), as disclosed in the Company’s definitive proxy statement on Schedule 14A for the Annual Meeting filed with the U.S. Securities and Exchange Commission on April 9, 2026 (the “Proxy Statement”). The Amendment (i) increased the number of shares authorized for issuance under the 2016 Plan by 24,160,000 shares and (ii) extended the term of the 2016 Plan through May 21, 2036. The Amendment previously had been approved by the board of directors of the Company, subject to shareholder approval.</w:t>
      </w:r>
    </w:p>
    <w:p>
      <w:pPr>
        <w:spacing w:after="0" w:line="207"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The foregoing description of the Amendment is qualified in its entirety by reference to the full text of the Amendment, a copy of which is filed as Exhibit 10.1 to this Current Report on Form 8-K and incorporated into this Item 5.02 by reference.</w:t>
      </w:r>
    </w:p>
    <w:p>
      <w:pPr>
        <w:spacing w:after="0" w:line="162"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5.07</w:t>
        <w:tab/>
        <w:t>Submission of Matters to a Vote of Security Holders.</w:t>
      </w:r>
    </w:p>
    <w:p>
      <w:pPr>
        <w:spacing w:after="0" w:line="26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At the Annual Meeting, there were 353,400,414 shares of the Company’s common stock, par value $0.625 per share, eligible to vote, of which 312,221,847 shares, or approximately 88.35%, were voted. The matters voted upon, the number of votes cast for or against, and the number of abstentions and broker non-votes, each rounded to the nearest whole share, were as stated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1 — Election of Directors.</w:t>
      </w:r>
    </w:p>
    <w:p>
      <w:pPr>
        <w:spacing w:after="0" w:line="26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following nominees for directors were elected to serve one-year terms expiring at the 2027 annual meeting of shareholders by the majority of shares voted, excluding abstentions and broker non-votes.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700" w:type="dxa"/>
            <w:vAlign w:val="bottom"/>
          </w:tcPr>
          <w:p>
            <w:pPr>
              <w:spacing w:after="0"/>
              <w:rPr>
                <w:sz w:val="16"/>
                <w:szCs w:val="16"/>
                <w:color w:val="auto"/>
              </w:rPr>
            </w:pPr>
          </w:p>
        </w:tc>
        <w:tc>
          <w:tcPr>
            <w:tcW w:w="94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For</w:t>
            </w:r>
          </w:p>
        </w:tc>
        <w:tc>
          <w:tcPr>
            <w:tcW w:w="480" w:type="dxa"/>
            <w:vAlign w:val="bottom"/>
          </w:tcPr>
          <w:p>
            <w:pPr>
              <w:spacing w:after="0"/>
              <w:rPr>
                <w:sz w:val="16"/>
                <w:szCs w:val="16"/>
                <w:color w:val="auto"/>
              </w:rPr>
            </w:pPr>
          </w:p>
        </w:tc>
        <w:tc>
          <w:tcPr>
            <w:tcW w:w="142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Abstentions</w:t>
            </w:r>
          </w:p>
        </w:tc>
        <w:tc>
          <w:tcPr>
            <w:tcW w:w="1940" w:type="dxa"/>
            <w:vAlign w:val="bottom"/>
            <w:gridSpan w:val="3"/>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Annell R. Bay</w:t>
            </w:r>
          </w:p>
        </w:tc>
        <w:tc>
          <w:tcPr>
            <w:tcW w:w="1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269,919,835</w:t>
            </w: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9"/>
              </w:rPr>
              <w:t>7,802,862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409,361</w:t>
            </w:r>
          </w:p>
        </w:tc>
        <w:tc>
          <w:tcPr>
            <w:tcW w:w="178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J. Christmann IV</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275,118,068</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9"/>
              </w:rPr>
              <w:t>2,608,513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405,477</w:t>
            </w:r>
          </w:p>
        </w:tc>
        <w:tc>
          <w:tcPr>
            <w:tcW w:w="17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Juliet S. Ellis</w:t>
            </w:r>
          </w:p>
        </w:tc>
        <w:tc>
          <w:tcPr>
            <w:tcW w:w="1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271,823,321</w:t>
            </w: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9"/>
              </w:rPr>
              <w:t>5,685,806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622,931</w:t>
            </w:r>
          </w:p>
        </w:tc>
        <w:tc>
          <w:tcPr>
            <w:tcW w:w="178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Kenneth M. Fisher</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276,348,675</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9"/>
              </w:rPr>
              <w:t>1,366,864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416,519</w:t>
            </w:r>
          </w:p>
        </w:tc>
        <w:tc>
          <w:tcPr>
            <w:tcW w:w="17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Charles W. Hooper</w:t>
            </w:r>
          </w:p>
        </w:tc>
        <w:tc>
          <w:tcPr>
            <w:tcW w:w="1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274,795,166</w:t>
            </w: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9"/>
              </w:rPr>
              <w:t>2,918,985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417,906</w:t>
            </w:r>
          </w:p>
        </w:tc>
        <w:tc>
          <w:tcPr>
            <w:tcW w:w="178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Chansoo Joung</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274,003,759</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9"/>
              </w:rPr>
              <w:t>3,708,825</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419,474</w:t>
            </w:r>
          </w:p>
        </w:tc>
        <w:tc>
          <w:tcPr>
            <w:tcW w:w="17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 Lamar McKay</w:t>
            </w:r>
          </w:p>
        </w:tc>
        <w:tc>
          <w:tcPr>
            <w:tcW w:w="1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276,435,125</w:t>
            </w: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9"/>
              </w:rPr>
              <w:t>1,286,135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410,798</w:t>
            </w:r>
          </w:p>
        </w:tc>
        <w:tc>
          <w:tcPr>
            <w:tcW w:w="178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A. Ragauss</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274,587,738</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9"/>
              </w:rPr>
              <w:t>3,118,147</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426,173</w:t>
            </w:r>
          </w:p>
        </w:tc>
        <w:tc>
          <w:tcPr>
            <w:tcW w:w="17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L. Stover</w:t>
            </w:r>
          </w:p>
        </w:tc>
        <w:tc>
          <w:tcPr>
            <w:tcW w:w="1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275,026,460</w:t>
            </w: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9"/>
              </w:rPr>
              <w:t>2,699,058</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406,540</w:t>
            </w:r>
          </w:p>
        </w:tc>
        <w:tc>
          <w:tcPr>
            <w:tcW w:w="178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Anya Weaving</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275,421,441</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9"/>
              </w:rPr>
              <w:t>2,081,920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628,696</w:t>
            </w:r>
          </w:p>
        </w:tc>
        <w:tc>
          <w:tcPr>
            <w:tcW w:w="17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tcPr>
          <w:p>
            <w:pPr>
              <w:spacing w:after="0"/>
              <w:rPr>
                <w:sz w:val="18"/>
                <w:szCs w:val="18"/>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2 — Ratification of Appointment of Independent Auditor.</w:t>
      </w:r>
    </w:p>
    <w:p>
      <w:pPr>
        <w:spacing w:after="0" w:line="264"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appointment of Ernst &amp; Young LLP as the Company’s independent auditor for fiscal year 2026 was ratified by the majority of shares voted, excluding abstentions and broker non-votes.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94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For</w:t>
            </w:r>
          </w:p>
        </w:tc>
        <w:tc>
          <w:tcPr>
            <w:tcW w:w="480" w:type="dxa"/>
            <w:vAlign w:val="bottom"/>
          </w:tcPr>
          <w:p>
            <w:pPr>
              <w:spacing w:after="0"/>
              <w:rPr>
                <w:sz w:val="16"/>
                <w:szCs w:val="16"/>
                <w:color w:val="auto"/>
              </w:rPr>
            </w:pP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22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9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0"/>
        </w:trPr>
        <w:tc>
          <w:tcPr>
            <w:tcW w:w="6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6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307,082,415</w:t>
            </w:r>
          </w:p>
        </w:tc>
        <w:tc>
          <w:tcPr>
            <w:tcW w:w="14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4,653,628</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485,804</w:t>
            </w:r>
          </w:p>
        </w:tc>
        <w:tc>
          <w:tcPr>
            <w:tcW w:w="17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CEEFF"/>
          </w:tcPr>
          <w:p>
            <w:pPr>
              <w:spacing w:after="0"/>
              <w:rPr>
                <w:sz w:val="18"/>
                <w:szCs w:val="18"/>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3 — Non-Binding Advisory Vote on Executive Compensation.</w:t>
      </w:r>
    </w:p>
    <w:p>
      <w:pPr>
        <w:spacing w:after="0" w:line="250"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In a non-binding advisory vote to approve the compensation of the Company’s named executive officers as disclosed in the Proxy Statement (commonly known as “say on pay”), the compensation of the Company’s named executive officers was approved by the majority of shares voted, excluding abstentions and broker non-votes.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92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For</w:t>
            </w:r>
          </w:p>
        </w:tc>
        <w:tc>
          <w:tcPr>
            <w:tcW w:w="5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20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92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0"/>
        </w:trPr>
        <w:tc>
          <w:tcPr>
            <w:tcW w:w="6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238,710,645</w:t>
            </w:r>
          </w:p>
        </w:tc>
        <w:tc>
          <w:tcPr>
            <w:tcW w:w="15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38,762,516</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658,897</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shd w:val="clear" w:color="auto" w:fill="CCEEFF"/>
          </w:tcPr>
          <w:p>
            <w:pPr>
              <w:spacing w:after="0"/>
              <w:rPr>
                <w:sz w:val="18"/>
                <w:szCs w:val="18"/>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4 — Approval of Amendment to the 2016 Omnibus Compensation Plan</w:t>
      </w:r>
      <w:r>
        <w:rPr>
          <w:rFonts w:ascii="Times New Roman" w:cs="Times New Roman" w:eastAsia="Times New Roman" w:hAnsi="Times New Roman"/>
          <w:sz w:val="16"/>
          <w:szCs w:val="16"/>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Amendment as disclosed in the Proxy Statement was approved by the majority of shares voted, excluding abstentions and broker non-votes.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92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For</w:t>
            </w:r>
          </w:p>
        </w:tc>
        <w:tc>
          <w:tcPr>
            <w:tcW w:w="5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20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6940" w:type="dxa"/>
            <w:vAlign w:val="bottom"/>
            <w:gridSpan w:val="4"/>
          </w:tcPr>
          <w:p>
            <w:pPr>
              <w:jc w:val="center"/>
              <w:ind w:right="4660"/>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0"/>
        </w:trPr>
        <w:tc>
          <w:tcPr>
            <w:tcW w:w="6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16"/>
        </w:trPr>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266,499,823</w:t>
            </w:r>
          </w:p>
        </w:tc>
        <w:tc>
          <w:tcPr>
            <w:tcW w:w="15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10,989,332</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642,903</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34,089,789</w:t>
            </w:r>
          </w:p>
        </w:tc>
        <w:tc>
          <w:tcPr>
            <w:tcW w:w="160" w:type="dxa"/>
            <w:vAlign w:val="bottom"/>
            <w:shd w:val="clear" w:color="auto" w:fill="CCEEFF"/>
          </w:tcPr>
          <w:p>
            <w:pPr>
              <w:spacing w:after="0"/>
              <w:rPr>
                <w:sz w:val="18"/>
                <w:szCs w:val="18"/>
                <w:color w:val="auto"/>
              </w:rPr>
            </w:pPr>
          </w:p>
        </w:tc>
        <w:tc>
          <w:tcPr>
            <w:tcW w:w="5020" w:type="dxa"/>
            <w:vAlign w:val="bottom"/>
          </w:tcPr>
          <w:p>
            <w:pPr>
              <w:spacing w:after="0"/>
              <w:rPr>
                <w:sz w:val="18"/>
                <w:szCs w:val="18"/>
                <w:color w:val="auto"/>
              </w:rPr>
            </w:pPr>
          </w:p>
        </w:tc>
      </w:tr>
      <w:tr>
        <w:trPr>
          <w:trHeight w:val="844"/>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 w:name="page3"/>
    <w:bookmarkEnd w:id="2"/>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262"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 w:lineRule="exact"/>
        <w:rPr>
          <w:sz w:val="20"/>
          <w:szCs w:val="20"/>
          <w:color w:val="auto"/>
        </w:rPr>
      </w:pPr>
    </w:p>
    <w:p>
      <w:pPr>
        <w:ind w:left="220"/>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614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10"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u w:val="single" w:color="auto"/>
          <w:color w:val="0000FF"/>
        </w:rPr>
        <w:t>Third Amendment to the 2016 Omnibus Compensation Plan, approved by shareholders May 21, 2026</w:t>
      </w:r>
      <w:r>
        <w:rPr>
          <w:rFonts w:ascii="Times New Roman" w:cs="Times New Roman" w:eastAsia="Times New Roman" w:hAnsi="Times New Roman"/>
          <w:sz w:val="16"/>
          <w:szCs w:val="16"/>
          <w:color w:val="000000"/>
        </w:rPr>
        <w:t>.</w:t>
      </w:r>
    </w:p>
    <w:p>
      <w:pPr>
        <w:spacing w:after="0" w:line="32" w:lineRule="exact"/>
        <w:rPr>
          <w:sz w:val="20"/>
          <w:szCs w:val="20"/>
          <w:color w:val="auto"/>
        </w:rPr>
      </w:pPr>
    </w:p>
    <w:p>
      <w:pPr>
        <w:ind w:left="200"/>
        <w:spacing w:after="0"/>
        <w:tabs>
          <w:tab w:leader="none" w:pos="7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1" w:right="1440"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304" w:lineRule="exact"/>
        <w:rPr>
          <w:sz w:val="20"/>
          <w:szCs w:val="20"/>
          <w:color w:val="auto"/>
        </w:rPr>
      </w:pPr>
    </w:p>
    <w:p>
      <w:pPr>
        <w:ind w:left="20"/>
        <w:spacing w:after="0"/>
        <w:tabs>
          <w:tab w:leader="none" w:pos="580" w:val="left"/>
          <w:tab w:leader="none" w:pos="4940" w:val="left"/>
          <w:tab w:leader="none" w:pos="5360" w:val="left"/>
        </w:tabs>
        <w:rPr>
          <w:sz w:val="20"/>
          <w:szCs w:val="20"/>
          <w:color w:val="auto"/>
        </w:rPr>
      </w:pPr>
      <w:r>
        <w:rPr>
          <w:rFonts w:ascii="Times New Roman" w:cs="Times New Roman" w:eastAsia="Times New Roman" w:hAnsi="Times New Roman"/>
          <w:sz w:val="16"/>
          <w:szCs w:val="16"/>
          <w:color w:val="auto"/>
        </w:rPr>
        <w:t>Date:</w:t>
        <w:tab/>
        <w:t>May 26, 2026</w:t>
      </w:r>
      <w:r>
        <w:rPr>
          <w:sz w:val="20"/>
          <w:szCs w:val="20"/>
          <w:color w:val="auto"/>
        </w:rPr>
        <w:tab/>
      </w:r>
      <w:r>
        <w:rPr>
          <w:rFonts w:ascii="Times New Roman" w:cs="Times New Roman" w:eastAsia="Times New Roman" w:hAnsi="Times New Roman"/>
          <w:sz w:val="16"/>
          <w:szCs w:val="16"/>
          <w:color w:val="auto"/>
        </w:rPr>
        <w:t>By:</w:t>
        <w:tab/>
        <w:t>/s/ Kimberly O. Warnica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20320</wp:posOffset>
            </wp:positionV>
            <wp:extent cx="2297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Kimberly O. Warnica</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Executive Vice President, Chief Legal Officer, and</w:t>
      </w:r>
    </w:p>
    <w:p>
      <w:pPr>
        <w:ind w:left="5380"/>
        <w:spacing w:after="0"/>
        <w:rPr>
          <w:sz w:val="20"/>
          <w:szCs w:val="20"/>
          <w:color w:val="auto"/>
        </w:rPr>
      </w:pPr>
      <w:r>
        <w:rPr>
          <w:rFonts w:ascii="Times New Roman" w:cs="Times New Roman" w:eastAsia="Times New Roman" w:hAnsi="Times New Roman"/>
          <w:sz w:val="16"/>
          <w:szCs w:val="16"/>
          <w:color w:val="auto"/>
        </w:rPr>
        <w:t>Corporate Secretary</w:t>
      </w:r>
    </w:p>
    <w:p>
      <w:pPr>
        <w:sectPr>
          <w:pgSz w:w="11900" w:h="16838" w:orient="portrait"/>
          <w:cols w:equalWidth="0" w:num="1">
            <w:col w:w="11020"/>
          </w:cols>
          <w:pgMar w:left="320" w:top="772"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the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Omnibus Compensation Plan</w:t>
      </w:r>
    </w:p>
    <w:p>
      <w:pPr>
        <w:spacing w:after="0" w:line="17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APA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sponsors and maintains the 2016 Omnibus Compensation Plan, originally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May 12, 2016, and as amended prior to the date hereof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pursuant to Section 17 of the Plan, has the right to amend the Plan, subject to such amendments being approved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Management Development and Compensation Committee of the Company and by the stockholders of the Company if required to satisfy applicable statutory or regulatory requirements; 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extend the term of the Plan and increase the number of shares of Stock authorized for issuance under the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amended as follows, effective as of the date set forth below, subject to approval by the Company’s stockholders:</w:t>
      </w:r>
    </w:p>
    <w:p>
      <w:pPr>
        <w:spacing w:after="0" w:line="18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hereby amended and restated in its entirety to provide as follows:</w:t>
      </w:r>
    </w:p>
    <w:p>
      <w:pPr>
        <w:spacing w:after="0" w:line="169" w:lineRule="exact"/>
        <w:rPr>
          <w:rFonts w:ascii="Times New Roman" w:cs="Times New Roman" w:eastAsia="Times New Roman" w:hAnsi="Times New Roman"/>
          <w:sz w:val="18"/>
          <w:szCs w:val="18"/>
          <w:color w:val="auto"/>
        </w:rPr>
      </w:pPr>
    </w:p>
    <w:p>
      <w:pPr>
        <w:ind w:left="820" w:hanging="486"/>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u w:val="single" w:color="auto"/>
          <w:color w:val="auto"/>
        </w:rPr>
        <w:t>Number of Shares</w:t>
      </w:r>
      <w:r>
        <w:rPr>
          <w:rFonts w:ascii="Times New Roman" w:cs="Times New Roman" w:eastAsia="Times New Roman" w:hAnsi="Times New Roman"/>
          <w:sz w:val="18"/>
          <w:szCs w:val="18"/>
          <w:color w:val="auto"/>
        </w:rPr>
        <w:t>. Subject to adjustments pursuant to Section 4.4 hereof, as of the Effective Date, up to (a) 25,500,000 shares of Stock are authorized for issuance under the Plan, plus (b) the number of shares of Stock subject to outstanding awards, as of the Effective Date, under the Prior Plan that on or after the Effective Date cease for any reason to be subject to such awards (other than shares tendered, surrendered, or withheld in connection with the exercise or settlement of such awards or the related tax withholding obligations), and subject to such restrictions or other provisions as the Committee may from time to time deem necessary. Subject to adjustments pursuant to Section 4.4 hereof, effective as of the date of this Third Amendment to the Plan, an additional 24,160,000 shares of Stock are authorized for issuance under the Plan. Notwithstanding the foregoing, the number of aggregate shares of Stock available for issuance under the Plan at any given time shall be reduced by (i) 1.0 share for each share of Stock granted in the form of Stock Options or Stock Appreciation Rights or (ii) 2.39 shares for each share of Stock granted in the form of any Award that is not a Stock Option or Stock Appreciation Right. During the duration of the Plan, no Eligible Person may be granted Options which in the aggregate cover in excess of 5 percent of the total shares of Stock authorized under the Plan. No Award may be granted under the Plan on or after May 21, 2036. The foregoing to the contrary notwithstanding, within the aggregate limit described in the first and second sentences of this Section 4.1, up to 49,660,000 shares of Stock may be issued pursuant to ISOs granted under the Plan.</w:t>
      </w:r>
    </w:p>
    <w:p>
      <w:pPr>
        <w:spacing w:after="0" w:line="10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of the Plan is hereby amended and restated in its entirety to provide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Duration of the Plan</w:t>
      </w:r>
    </w:p>
    <w:p>
      <w:pPr>
        <w:spacing w:after="0" w:line="185" w:lineRule="exact"/>
        <w:rPr>
          <w:sz w:val="20"/>
          <w:szCs w:val="20"/>
          <w:color w:val="auto"/>
        </w:rPr>
      </w:pPr>
    </w:p>
    <w:p>
      <w:pPr>
        <w:ind w:left="340"/>
        <w:spacing w:after="0" w:line="313" w:lineRule="auto"/>
        <w:rPr>
          <w:sz w:val="20"/>
          <w:szCs w:val="20"/>
          <w:color w:val="auto"/>
        </w:rPr>
      </w:pPr>
      <w:r>
        <w:rPr>
          <w:rFonts w:ascii="Times New Roman" w:cs="Times New Roman" w:eastAsia="Times New Roman" w:hAnsi="Times New Roman"/>
          <w:sz w:val="18"/>
          <w:szCs w:val="18"/>
          <w:color w:val="auto"/>
        </w:rPr>
        <w:t>The Plan shall terminate on May 21, 2036. No grants shall be awarded after such termination; however, the terms of the Plan shall continue to apply to all Awards outstanding when the Plan terminates.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19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1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Attest:</w:t>
            </w:r>
          </w:p>
        </w:tc>
        <w:tc>
          <w:tcPr>
            <w:tcW w:w="628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APA CORPORATION</w:t>
            </w:r>
          </w:p>
        </w:tc>
      </w:tr>
      <w:tr>
        <w:trPr>
          <w:trHeight w:val="500"/>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W. Funderburk</w:t>
            </w:r>
          </w:p>
        </w:tc>
        <w:tc>
          <w:tcPr>
            <w:tcW w:w="19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Castlen M. Kennedy</w:t>
            </w:r>
          </w:p>
        </w:tc>
      </w:tr>
      <w:tr>
        <w:trPr>
          <w:trHeight w:val="169"/>
        </w:trPr>
        <w:tc>
          <w:tcPr>
            <w:tcW w:w="3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Kyle W. Funderburk</w:t>
            </w:r>
          </w:p>
        </w:tc>
        <w:tc>
          <w:tcPr>
            <w:tcW w:w="1900" w:type="dxa"/>
            <w:vAlign w:val="bottom"/>
          </w:tcPr>
          <w:p>
            <w:pPr>
              <w:spacing w:after="0"/>
              <w:rPr>
                <w:sz w:val="14"/>
                <w:szCs w:val="14"/>
                <w:color w:val="auto"/>
              </w:rPr>
            </w:pPr>
          </w:p>
        </w:tc>
        <w:tc>
          <w:tcPr>
            <w:tcW w:w="4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Castlen M. Kennedy</w:t>
            </w:r>
          </w:p>
        </w:tc>
      </w:tr>
      <w:tr>
        <w:trPr>
          <w:trHeight w:val="175"/>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Assistant Secretary</w:t>
            </w:r>
          </w:p>
        </w:tc>
        <w:tc>
          <w:tcPr>
            <w:tcW w:w="1900" w:type="dxa"/>
            <w:vAlign w:val="bottom"/>
          </w:tcPr>
          <w:p>
            <w:pPr>
              <w:spacing w:after="0"/>
              <w:rPr>
                <w:sz w:val="15"/>
                <w:szCs w:val="15"/>
                <w:color w:val="auto"/>
              </w:rPr>
            </w:pPr>
          </w:p>
        </w:tc>
        <w:tc>
          <w:tcPr>
            <w:tcW w:w="4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Senior Vice President, Human Resources and Corporate</w:t>
            </w:r>
          </w:p>
        </w:tc>
      </w:tr>
      <w:tr>
        <w:trPr>
          <w:trHeight w:val="236"/>
        </w:trPr>
        <w:tc>
          <w:tcPr>
            <w:tcW w:w="3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Affairs</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2026-05-26T16:46:33Z</dcterms:created>
  <dcterms:modified xsi:type="dcterms:W3CDTF">2026-05-26T16:46:33Z</dcterms:modified>
</cp:coreProperties>
</file>