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120" w:after="283"/>
        <w:jc w:val="center"/>
        <w:rPr/>
      </w:pPr>
      <w:r>
        <w:rPr>
          <w:rFonts w:ascii="Times New Roman;sans-serif" w:hAnsi="Times New Roman;sans-serif"/>
          <w:b/>
          <w:color w:val="000000"/>
          <w:sz w:val="32"/>
        </w:rPr>
        <w:t>FORM 10-Q</w:t>
      </w:r>
      <w:r>
        <w:rPr>
          <w:color w:val="000000"/>
        </w:rPr>
        <w:t> </w:t>
      </w:r>
    </w:p>
    <w:p>
      <w:pPr>
        <w:pStyle w:val="TextBody"/>
        <w:bidi w:val="0"/>
        <w:spacing w:lineRule="auto" w:line="288" w:before="0" w:after="0"/>
        <w:jc w:val="left"/>
        <w:rPr/>
      </w:pPr>
      <w:r>
        <w:rPr>
          <w:rFonts w:ascii="Times New Roman;sans-serif" w:hAnsi="Times New Roman;sans-serif"/>
          <w:b w:val="false"/>
          <w:color w:val="000000"/>
          <w:sz w:val="16"/>
        </w:rPr>
        <w:t>(Mark One) </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2024</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 to _________</w:t>
      </w:r>
    </w:p>
    <w:p>
      <w:pPr>
        <w:pStyle w:val="TextBody"/>
        <w:bidi w:val="0"/>
        <w:spacing w:lineRule="auto" w:line="288" w:before="60" w:after="283"/>
        <w:jc w:val="center"/>
        <w:rPr/>
      </w:pPr>
      <w:r>
        <w:rPr>
          <w:rFonts w:ascii="Times New Roman;sans-serif" w:hAnsi="Times New Roman;sans-serif"/>
          <w:b w:val="false"/>
          <w:color w:val="000000"/>
          <w:sz w:val="18"/>
        </w:rPr>
        <w:t>Commission File Number:</w:t>
      </w:r>
      <w:r>
        <w:rPr>
          <w:color w:val="000000"/>
        </w:rPr>
        <w:t xml:space="preserve"> </w:t>
      </w:r>
      <w:r>
        <w:rPr>
          <w:rFonts w:ascii="Times New Roman;sans-serif" w:hAnsi="Times New Roman;sans-serif"/>
          <w:b/>
          <w:color w:val="000000"/>
          <w:sz w:val="18"/>
        </w:rPr>
        <w:t xml:space="preserve">1-4300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APACHE CORPORATION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035" w:type="dxa"/>
        <w:jc w:val="center"/>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41-0747868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2000 W. Sam Houston Pkwy. S., Suite 200, Houston, Texas 77042-3643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(713) 296-6000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left"/>
        <w:rPr/>
      </w:pPr>
      <w:r>
        <w:rPr>
          <w:rFonts w:ascii="Times New Roman;sans-serif" w:hAnsi="Times New Roman;sans-serif"/>
          <w:b/>
          <w:color w:val="000000"/>
          <w:sz w:val="18"/>
        </w:rPr>
        <w:t xml:space="preserve">Securities registered pursuant to Section 12(b) of the Act: </w:t>
      </w:r>
      <w:r>
        <w:rPr>
          <w:rFonts w:ascii="Times New Roman;sans-serif" w:hAnsi="Times New Roman;sans-serif"/>
          <w:b w:val="false"/>
          <w:color w:val="000000"/>
          <w:sz w:val="18"/>
        </w:rPr>
        <w:t>None</w:t>
      </w:r>
    </w:p>
    <w:p>
      <w:pPr>
        <w:pStyle w:val="TextBody"/>
        <w:bidi w:val="0"/>
        <w:spacing w:lineRule="auto" w:line="288" w:before="6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Note: The registrant is a voluntary filer of reports required to be filed by certain companies under Sections 13 or 15(d) of the Securities Exchange Act of 1934.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tbl>
      <w:tblPr>
        <w:tblW w:w="9154" w:type="dxa"/>
        <w:jc w:val="left"/>
        <w:tblInd w:w="0" w:type="dxa"/>
        <w:tblLayout w:type="fixed"/>
        <w:tblCellMar>
          <w:top w:w="28" w:type="dxa"/>
          <w:left w:w="28" w:type="dxa"/>
          <w:bottom w:w="28" w:type="dxa"/>
          <w:right w:w="28" w:type="dxa"/>
        </w:tblCellMar>
      </w:tblPr>
      <w:tblGrid>
        <w:gridCol w:w="3054"/>
        <w:gridCol w:w="2691"/>
        <w:gridCol w:w="2699"/>
        <w:gridCol w:w="278"/>
        <w:gridCol w:w="278"/>
        <w:gridCol w:w="154"/>
      </w:tblGrid>
      <w:tr>
        <w:trPr/>
        <w:tc>
          <w:tcPr>
            <w:tcW w:w="305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of registrant’s common stock outstanding as of July 31, 2024 (100% owned by APA Corporation)</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OMISSION OF CERTAIN INFORMATION</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registrant meets the conditions set forth in General Instruction H(1)(a) and (b) of Form 10-Q and is therefore filing this Quarterly Report on Form 10-Q with the reduced disclosure format.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9733" w:type="dxa"/>
        <w:jc w:val="left"/>
        <w:tblInd w:w="0" w:type="dxa"/>
        <w:tblLayout w:type="fixed"/>
        <w:tblCellMar>
          <w:top w:w="28" w:type="dxa"/>
          <w:left w:w="28" w:type="dxa"/>
          <w:bottom w:w="28" w:type="dxa"/>
          <w:right w:w="28" w:type="dxa"/>
        </w:tblCellMar>
      </w:tblPr>
      <w:tblGrid>
        <w:gridCol w:w="185"/>
        <w:gridCol w:w="162"/>
        <w:gridCol w:w="164"/>
        <w:gridCol w:w="2773"/>
        <w:gridCol w:w="2773"/>
        <w:gridCol w:w="2778"/>
        <w:gridCol w:w="109"/>
        <w:gridCol w:w="109"/>
        <w:gridCol w:w="109"/>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Item</w:t>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w:t>
            </w:r>
            <w:r>
              <w:rPr>
                <w:color w:val="000000"/>
              </w:rPr>
              <w:t xml:space="preserve"> </w:t>
            </w:r>
            <w:r>
              <w:rPr>
                <w:rFonts w:ascii="Times New Roman;sans-serif" w:hAnsi="Times New Roman;sans-serif"/>
                <w:b/>
                <w:color w:val="000000"/>
                <w:sz w:val="20"/>
              </w:rPr>
              <w:t>-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9">
              <w:r>
                <w:rPr>
                  <w:rStyle w:val="InternetLink"/>
                  <w:rFonts w:ascii="Times New Roman;sans-serif" w:hAnsi="Times New Roman;sans-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9">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22">
              <w:r>
                <w:rPr>
                  <w:rStyle w:val="InternetLink"/>
                  <w:rFonts w:ascii="Times New Roman;sans-serif" w:hAnsi="Times New Roman;sans-serif"/>
                  <w:b w:val="false"/>
                  <w:color w:val="0000FF"/>
                  <w:sz w:val="20"/>
                  <w:u w:val="single"/>
                </w:rPr>
                <w:t>STATEMENT OF CONSOLIDATED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22">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25">
              <w:r>
                <w:rPr>
                  <w:rStyle w:val="InternetLink"/>
                  <w:rFonts w:ascii="Times New Roman;sans-serif" w:hAnsi="Times New Roman;sans-serif"/>
                  <w:b w:val="false"/>
                  <w:color w:val="0000FF"/>
                  <w:sz w:val="20"/>
                  <w:u w:val="single"/>
                </w:rPr>
                <w:t>STATEMENT OF CONSOLIDATED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25">
              <w:r>
                <w:rPr>
                  <w:rStyle w:val="InternetLink"/>
                  <w:rFonts w:ascii="Times New Roman;sans-serif" w:hAnsi="Times New Roman;sans-serif"/>
                  <w:b w:val="false"/>
                  <w:color w:val="0000FF"/>
                  <w:sz w:val="20"/>
                  <w:u w:val="single"/>
                </w:rPr>
                <w:t>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28">
              <w:r>
                <w:rPr>
                  <w:rStyle w:val="InternetLink"/>
                  <w:rFonts w:ascii="Times New Roman;sans-serif" w:hAnsi="Times New Roman;sans-serif"/>
                  <w:b w:val="false"/>
                  <w:color w:val="0000FF"/>
                  <w:sz w:val="20"/>
                  <w:u w:val="single"/>
                </w:rPr>
                <w:t>STATEMENT OF CONSOLIDATED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28">
              <w:r>
                <w:rPr>
                  <w:rStyle w:val="InternetLink"/>
                  <w:rFonts w:ascii="Times New Roman;sans-serif" w:hAnsi="Times New Roman;sans-serif"/>
                  <w:b w:val="false"/>
                  <w:color w:val="0000FF"/>
                  <w:sz w:val="20"/>
                  <w:u w:val="single"/>
                </w:rPr>
                <w:t>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31">
              <w:r>
                <w:rPr>
                  <w:rStyle w:val="InternetLink"/>
                  <w:rFonts w:ascii="Times New Roman;sans-serif" w:hAnsi="Times New Roman;sans-serif"/>
                  <w:b w:val="false"/>
                  <w:color w:val="0000FF"/>
                  <w:sz w:val="20"/>
                  <w:u w:val="single"/>
                </w:rPr>
                <w:t>CONSOLIDATED BALANCE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31">
              <w:r>
                <w:rPr>
                  <w:rStyle w:val="InternetLink"/>
                  <w:rFonts w:ascii="Times New Roman;sans-serif" w:hAnsi="Times New Roman;sans-serif"/>
                  <w:b w:val="false"/>
                  <w:color w:val="0000FF"/>
                  <w:sz w:val="20"/>
                  <w:u w:val="single"/>
                </w:rPr>
                <w:t>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34">
              <w:r>
                <w:rPr>
                  <w:rStyle w:val="InternetLink"/>
                  <w:rFonts w:ascii="Times New Roman;sans-serif" w:hAnsi="Times New Roman;sans-serif"/>
                  <w:b w:val="false"/>
                  <w:color w:val="0000FF"/>
                  <w:sz w:val="20"/>
                  <w:u w:val="single"/>
                </w:rPr>
                <w:t>STATEMENT OF CONSOLIDATED CHANGES IN EQUITY AND NONCONTROLLING INTERESTS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34">
              <w:r>
                <w:rPr>
                  <w:rStyle w:val="InternetLink"/>
                  <w:rFonts w:ascii="Times New Roman;sans-serif" w:hAnsi="Times New Roman;sans-serif"/>
                  <w:b w:val="false"/>
                  <w:color w:val="0000FF"/>
                  <w:sz w:val="20"/>
                  <w:u w:val="single"/>
                </w:rPr>
                <w:t>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eb8f2bab0c34508a9b67244bfedf258_40">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40">
              <w:r>
                <w:rPr>
                  <w:rStyle w:val="InternetLink"/>
                  <w:rFonts w:ascii="Times New Roman;sans-serif" w:hAnsi="Times New Roman;sans-serif"/>
                  <w:b w:val="false"/>
                  <w:color w:val="0000FF"/>
                  <w:sz w:val="20"/>
                  <w:u w:val="single"/>
                </w:rPr>
                <w:t>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94">
              <w:r>
                <w:rPr>
                  <w:rStyle w:val="InternetLink"/>
                  <w:rFonts w:ascii="Times New Roman;sans-serif" w:hAnsi="Times New Roman;sans-serif"/>
                  <w:b w:val="false"/>
                  <w:color w:val="0000FF"/>
                  <w:sz w:val="20"/>
                  <w:u w:val="single"/>
                </w:rPr>
                <w:t>MANAGEMENT'S NARRATIVE ANALYSIS OF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94">
              <w:r>
                <w:rPr>
                  <w:rStyle w:val="InternetLink"/>
                  <w:rFonts w:ascii="Times New Roman;sans-serif" w:hAnsi="Times New Roman;sans-serif"/>
                  <w:b w:val="false"/>
                  <w:color w:val="0000FF"/>
                  <w:sz w:val="20"/>
                  <w:u w:val="single"/>
                </w:rPr>
                <w:t>24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51">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51">
              <w:r>
                <w:rPr>
                  <w:rStyle w:val="InternetLink"/>
                  <w:rFonts w:ascii="Times New Roman;sans-serif" w:hAnsi="Times New Roman;sans-serif"/>
                  <w:b w:val="false"/>
                  <w:color w:val="0000FF"/>
                  <w:sz w:val="20"/>
                  <w:u w:val="single"/>
                </w:rPr>
                <w:t>33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54">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54">
              <w:r>
                <w:rPr>
                  <w:rStyle w:val="InternetLink"/>
                  <w:rFonts w:ascii="Times New Roman;sans-serif" w:hAnsi="Times New Roman;sans-serif"/>
                  <w:b w:val="false"/>
                  <w:color w:val="0000FF"/>
                  <w:sz w:val="20"/>
                  <w:u w:val="single"/>
                </w:rPr>
                <w:t>33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II</w:t>
            </w:r>
            <w:r>
              <w:rPr>
                <w:color w:val="000000"/>
              </w:rPr>
              <w:t xml:space="preserve"> </w:t>
            </w:r>
            <w:r>
              <w:rPr>
                <w:rFonts w:ascii="Times New Roman;sans-serif" w:hAnsi="Times New Roman;sans-serif"/>
                <w:b/>
                <w:color w:val="000000"/>
                <w:sz w:val="20"/>
              </w:rPr>
              <w:t>-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60">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60">
              <w:r>
                <w:rPr>
                  <w:rStyle w:val="InternetLink"/>
                  <w:rFonts w:ascii="Times New Roman;sans-serif" w:hAnsi="Times New Roman;sans-serif"/>
                  <w:b w:val="false"/>
                  <w:color w:val="0000FF"/>
                  <w:sz w:val="20"/>
                  <w:u w:val="single"/>
                </w:rPr>
                <w:t>34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63">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63">
              <w:r>
                <w:rPr>
                  <w:rStyle w:val="InternetLink"/>
                  <w:rFonts w:ascii="Times New Roman;sans-serif" w:hAnsi="Times New Roman;sans-serif"/>
                  <w:b w:val="false"/>
                  <w:color w:val="0000FF"/>
                  <w:sz w:val="20"/>
                  <w:u w:val="single"/>
                </w:rPr>
                <w:t>34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b8f2bab0c34508a9b67244bfedf258_178">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eb8f2bab0c34508a9b67244bfedf258_178">
              <w:r>
                <w:rPr>
                  <w:rStyle w:val="InternetLink"/>
                  <w:rFonts w:ascii="Times New Roman;sans-serif" w:hAnsi="Times New Roman;sans-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AND RISKS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local, regional, national, and international economic conditions, including as a result of any epidemics or pandemics, such as the coronavirus disease (COVID-19) pandemic and any related variants;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 prices of oil, natural gas, natural gas liquids (NGLs), and other products or services, including the prices received for natural gas purchased from third parties to sell and deliver to a U.S. LNG export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commodity hedging arrangements;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supply and demand for oil, natural gas, NGLs, and other products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production and reserve levels;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drilling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capital expenditures and other contractual obligations;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currency exchange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weather conditions;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inflation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tax legislation;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goods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political pressure and the influence of environmental groups and other stakeholders on decisions and policies related to the industries in which the Company and its affiliates operate;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legislative, regulatory, or policy changes, including initiatives addressing the impact of global climate change or further regulating hydraulic fracturing, methane emissions, flaring, or water disposal;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performance on environmental, social, and governance measures;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cyberattacks and terrorism;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ability to access the capital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market-related risks, such as general credit, liquidity, and interest-rate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to retain and hire key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property acquisitions or divestitures;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integration of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under Items 1 and 2—Business and Properties—Estimated Proved Reserves and Future Net Cash Flows, Item 1A—Risk Factors, Item 7—Management’s Narrative Analysis of Results of Operations, Item 7A—Quantitative and Qualitative Disclosures About Market Risk and elsewhere in the Company’s Annual Report on Form 10-K for the fiscal year ended December 31,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risks and uncertainties disclosed in APA Corporation’s second-quarter 2024 earnings release;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 factors disclosed under Part II, </w:t>
      </w:r>
      <w:hyperlink w:anchor="i1eb8f2bab0c34508a9b67244bfedf258_163">
        <w:r>
          <w:rPr>
            <w:rStyle w:val="InternetLink"/>
            <w:rFonts w:ascii="Times New Roman;sans-serif" w:hAnsi="Times New Roman;sans-serif"/>
            <w:b w:val="false"/>
            <w:color w:val="0000FF"/>
            <w:sz w:val="20"/>
            <w:u w:val="single"/>
          </w:rPr>
          <w:t>Item 1A—Risk Factors</w:t>
        </w:r>
      </w:hyperlink>
      <w:r>
        <w:rPr>
          <w:color w:val="000000"/>
        </w:rPr>
        <w:t xml:space="preserve"> </w:t>
      </w:r>
      <w:r>
        <w:rPr>
          <w:rFonts w:ascii="Times New Roman;sans-serif" w:hAnsi="Times New Roman;sans-serif"/>
          <w:b w:val="false"/>
          <w:color w:val="000000"/>
          <w:sz w:val="20"/>
        </w:rPr>
        <w:t>of this Quarterly Report on Form 10-Q;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in the other filings that the Company makes with the Securities and Exchange Commission.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DEFINITIONS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All defined terms under Rule 4-10(a) of Regulation S-X shall have their statutorily prescribed meanings when used in this Quarterly Report on Form 10-Q. As used herein: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b/d” means barrels of oil or NGLs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bbl” or “bbls” means barrel or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 means billion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bcf/d” means one bcf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 means barrel of oil equivalent, determined by using the ratio of one barrel of oil or NGLs to six Mcf of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boe/d” means 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Btu” means a British thermal unit, a measure of heating value.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liquids” means oil and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LNG” means liquefied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Mb/d” means Mbbls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Mbbls” means thousand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 means thousand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Mboe/d” means Mboe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 means thousand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Mcf/d” means 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MMbbls” means million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MMboe” means million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 means million Btu.</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MMBtu/d” means MMBtu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 means million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MMcf/d” means MMcf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NGL” or “NGLs” means natural gas liquids, which are expressed in barrels.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NYMEX” means New York Mercantile Exchange.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oil” includes crude oil and condensate.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PUD” means proved undeveloped.</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SEC” means the United States Securities and Exchange Commission.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Tcf” means trillion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U.K.” means United Kingdom.</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U.S.” means United States.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References to “Apache,” the “Company,” “we,” “us,” and “our” refer to Apache Corporation and its consolidated subsidiaries, unless otherwise specifically stated. References to “APA” refer to APA Corporation, the Company’s parent holding company, and its consolidated subsidiaries, including the Company, unless otherwise specifically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9932" w:type="dxa"/>
        <w:jc w:val="left"/>
        <w:tblInd w:w="0" w:type="dxa"/>
        <w:tblLayout w:type="fixed"/>
        <w:tblCellMar>
          <w:top w:w="28" w:type="dxa"/>
          <w:left w:w="28" w:type="dxa"/>
          <w:bottom w:w="28" w:type="dxa"/>
          <w:right w:w="28" w:type="dxa"/>
        </w:tblCellMar>
      </w:tblPr>
      <w:tblGrid>
        <w:gridCol w:w="1825"/>
        <w:gridCol w:w="1603"/>
        <w:gridCol w:w="1612"/>
        <w:gridCol w:w="109"/>
        <w:gridCol w:w="109"/>
        <w:gridCol w:w="109"/>
        <w:gridCol w:w="196"/>
        <w:gridCol w:w="556"/>
        <w:gridCol w:w="109"/>
        <w:gridCol w:w="109"/>
        <w:gridCol w:w="109"/>
        <w:gridCol w:w="109"/>
        <w:gridCol w:w="196"/>
        <w:gridCol w:w="556"/>
        <w:gridCol w:w="109"/>
        <w:gridCol w:w="109"/>
        <w:gridCol w:w="109"/>
        <w:gridCol w:w="109"/>
        <w:gridCol w:w="205"/>
        <w:gridCol w:w="581"/>
        <w:gridCol w:w="114"/>
        <w:gridCol w:w="114"/>
        <w:gridCol w:w="114"/>
        <w:gridCol w:w="114"/>
        <w:gridCol w:w="205"/>
        <w:gridCol w:w="581"/>
        <w:gridCol w:w="161"/>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Oil, natural gas, and natural gas liquids production revenues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sales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3,953 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operating expenses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Gathering, processing, and transmission</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 –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(1)    For transactions with Kinetik prior to the Company’s sale of its remaining shares of Kinetik Class A Common Stock and the resignation of the Company’s designated director from the Kinetik board of directors, refer to </w:t>
      </w:r>
      <w:hyperlink w:anchor="i1eb8f2bab0c34508a9b67244bfedf258_67">
        <w:r>
          <w:rPr>
            <w:rStyle w:val="InternetLink"/>
            <w:rFonts w:ascii="Times New Roman;sans-serif" w:hAnsi="Times New Roman;sans-serif"/>
            <w:b w:val="false"/>
            <w:color w:val="0000FF"/>
            <w:sz w:val="16"/>
            <w:u w:val="single"/>
          </w:rPr>
          <w:t>Note 6—Equity Method Interests</w:t>
        </w:r>
      </w:hyperlink>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290"/>
                <wp:effectExtent l="0" t="0" r="0" b="0"/>
                <wp:wrapNone/>
                <wp:docPr id="6" name="Frame6"/>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017"/>
        <w:gridCol w:w="1771"/>
        <w:gridCol w:w="1777"/>
        <w:gridCol w:w="109"/>
        <w:gridCol w:w="109"/>
        <w:gridCol w:w="109"/>
        <w:gridCol w:w="204"/>
        <w:gridCol w:w="439"/>
        <w:gridCol w:w="113"/>
        <w:gridCol w:w="113"/>
        <w:gridCol w:w="113"/>
        <w:gridCol w:w="113"/>
        <w:gridCol w:w="204"/>
        <w:gridCol w:w="439"/>
        <w:gridCol w:w="113"/>
        <w:gridCol w:w="109"/>
        <w:gridCol w:w="109"/>
        <w:gridCol w:w="109"/>
        <w:gridCol w:w="229"/>
        <w:gridCol w:w="492"/>
        <w:gridCol w:w="126"/>
        <w:gridCol w:w="126"/>
        <w:gridCol w:w="126"/>
        <w:gridCol w:w="126"/>
        <w:gridCol w:w="229"/>
        <w:gridCol w:w="492"/>
        <w:gridCol w:w="189"/>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INCLUDING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 –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290"/>
                <wp:effectExtent l="0" t="0" r="0" b="0"/>
                <wp:wrapNone/>
                <wp:docPr id="7" name="Frame7"/>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226" w:type="dxa"/>
        <w:jc w:val="center"/>
        <w:tblInd w:w="0" w:type="dxa"/>
        <w:tblLayout w:type="fixed"/>
        <w:tblCellMar>
          <w:top w:w="28" w:type="dxa"/>
          <w:left w:w="28" w:type="dxa"/>
          <w:bottom w:w="28" w:type="dxa"/>
          <w:right w:w="28" w:type="dxa"/>
        </w:tblCellMar>
      </w:tblPr>
      <w:tblGrid>
        <w:gridCol w:w="2070"/>
        <w:gridCol w:w="1818"/>
        <w:gridCol w:w="1827"/>
        <w:gridCol w:w="109"/>
        <w:gridCol w:w="109"/>
        <w:gridCol w:w="109"/>
        <w:gridCol w:w="235"/>
        <w:gridCol w:w="505"/>
        <w:gridCol w:w="130"/>
        <w:gridCol w:w="130"/>
        <w:gridCol w:w="130"/>
        <w:gridCol w:w="130"/>
        <w:gridCol w:w="235"/>
        <w:gridCol w:w="505"/>
        <w:gridCol w:w="184"/>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Exploratory dry hole expense and 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Drilling advances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charges and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from/payable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credits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1,060 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1,305 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upstream oil and gas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Leasehold and property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asset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Kinetik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(1,101)</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fixed-rate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SUPPLEMENTARY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290"/>
                <wp:effectExtent l="0" t="0" r="0" b="0"/>
                <wp:wrapNone/>
                <wp:docPr id="8" name="Frame8"/>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50"/>
        <w:gridCol w:w="2339"/>
        <w:gridCol w:w="2357"/>
        <w:gridCol w:w="109"/>
        <w:gridCol w:w="109"/>
        <w:gridCol w:w="109"/>
        <w:gridCol w:w="196"/>
        <w:gridCol w:w="646"/>
        <w:gridCol w:w="109"/>
        <w:gridCol w:w="109"/>
        <w:gridCol w:w="109"/>
        <w:gridCol w:w="109"/>
        <w:gridCol w:w="226"/>
        <w:gridCol w:w="748"/>
        <w:gridCol w:w="180"/>
      </w:tblGrid>
      <w:tr>
        <w:trPr/>
        <w:tc>
          <w:tcPr>
            <w:tcW w:w="275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data)</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of $114 and $114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 (</w:t>
            </w:r>
            <w:hyperlink w:anchor="i1eb8f2bab0c34508a9b67244bfedf258_64">
              <w:r>
                <w:rPr>
                  <w:rStyle w:val="InternetLink"/>
                  <w:rFonts w:ascii="Times New Roman;sans-serif" w:hAnsi="Times New Roman;sans-serif"/>
                  <w:b w:val="false"/>
                  <w:color w:val="0000FF"/>
                  <w:sz w:val="18"/>
                  <w:u w:val="single"/>
                </w:rPr>
                <w:t>Note 5</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Accounts receivable from APA Corporation (</w:t>
            </w:r>
            <w:hyperlink w:anchor="i1eb8f2bab0c34508a9b67244bfedf258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method interests (</w:t>
            </w:r>
            <w:hyperlink w:anchor="i1eb8f2bab0c34508a9b67244bfedf258_67">
              <w:r>
                <w:rPr>
                  <w:rStyle w:val="InternetLink"/>
                  <w:rFonts w:ascii="Times New Roman;sans-serif" w:hAnsi="Times New Roman;sans-serif"/>
                  <w:b w:val="false"/>
                  <w:color w:val="0000FF"/>
                  <w:sz w:val="18"/>
                  <w:u w:val="single"/>
                </w:rPr>
                <w:t>Note 6</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security for sold Gulf of Mexico properties (</w:t>
            </w:r>
            <w:hyperlink w:anchor="i1eb8f2bab0c34508a9b67244bfedf258_85">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asset (</w:t>
            </w:r>
            <w:hyperlink w:anchor="i1eb8f2bab0c34508a9b67244bfedf258_82">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Noncurrent receivable from APA Corporation (</w:t>
            </w:r>
            <w:hyperlink w:anchor="i1eb8f2bab0c34508a9b67244bfedf258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Notes receivable from APA Corporation (</w:t>
            </w:r>
            <w:hyperlink w:anchor="i1eb8f2bab0c34508a9b67244bfedf258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liabilities (</w:t>
            </w:r>
            <w:hyperlink w:anchor="i1eb8f2bab0c34508a9b67244bfedf258_70">
              <w:r>
                <w:rPr>
                  <w:rStyle w:val="InternetLink"/>
                  <w:rFonts w:ascii="Times New Roman;sans-serif" w:hAnsi="Times New Roman;sans-serif"/>
                  <w:b w:val="false"/>
                  <w:color w:val="0000FF"/>
                  <w:sz w:val="18"/>
                  <w:u w:val="single"/>
                </w:rPr>
                <w:t>Note 7</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LONG-TERM DEBT (</w:t>
            </w:r>
            <w:hyperlink w:anchor="i1eb8f2bab0c34508a9b67244bfedf258_76">
              <w:r>
                <w:rPr>
                  <w:rStyle w:val="InternetLink"/>
                  <w:rFonts w:ascii="Times New Roman;sans-serif" w:hAnsi="Times New Roman;sans-serif"/>
                  <w:b w:val="false"/>
                  <w:color w:val="0000FF"/>
                  <w:sz w:val="18"/>
                  <w:u w:val="single"/>
                </w:rPr>
                <w:t>Note 9</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CREDITS AND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liability (</w:t>
            </w:r>
            <w:hyperlink w:anchor="i1eb8f2bab0c34508a9b67244bfedf258_82">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Asset retirement obligation (</w:t>
            </w:r>
            <w:hyperlink w:anchor="i1eb8f2bab0c34508a9b67244bfedf258_73">
              <w:r>
                <w:rPr>
                  <w:rStyle w:val="InternetLink"/>
                  <w:rFonts w:ascii="Times New Roman;sans-serif" w:hAnsi="Times New Roman;sans-serif"/>
                  <w:b w:val="false"/>
                  <w:color w:val="0000FF"/>
                  <w:sz w:val="18"/>
                  <w:u w:val="single"/>
                </w:rPr>
                <w:t>Note 8</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contingency for sold Gulf of Mexico properties (</w:t>
            </w:r>
            <w:hyperlink w:anchor="i1eb8f2bab0c34508a9b67244bfedf258_85">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$0.625 par, 1,000 and 1,000 shares authorized, respectively, 1,000 and 1,000 shares issued,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290"/>
                <wp:effectExtent l="0" t="0" r="0" b="0"/>
                <wp:wrapNone/>
                <wp:docPr id="9" name="Frame9"/>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05"/>
        <w:gridCol w:w="242"/>
        <w:gridCol w:w="244"/>
        <w:gridCol w:w="109"/>
        <w:gridCol w:w="109"/>
        <w:gridCol w:w="109"/>
        <w:gridCol w:w="109"/>
        <w:gridCol w:w="109"/>
        <w:gridCol w:w="196"/>
        <w:gridCol w:w="556"/>
        <w:gridCol w:w="109"/>
        <w:gridCol w:w="109"/>
        <w:gridCol w:w="109"/>
        <w:gridCol w:w="109"/>
        <w:gridCol w:w="236"/>
        <w:gridCol w:w="688"/>
        <w:gridCol w:w="131"/>
        <w:gridCol w:w="109"/>
        <w:gridCol w:w="109"/>
        <w:gridCol w:w="109"/>
        <w:gridCol w:w="109"/>
        <w:gridCol w:w="374"/>
        <w:gridCol w:w="632"/>
        <w:gridCol w:w="210"/>
        <w:gridCol w:w="109"/>
        <w:gridCol w:w="109"/>
        <w:gridCol w:w="109"/>
        <w:gridCol w:w="321"/>
        <w:gridCol w:w="913"/>
        <w:gridCol w:w="180"/>
        <w:gridCol w:w="109"/>
        <w:gridCol w:w="109"/>
        <w:gridCol w:w="109"/>
        <w:gridCol w:w="273"/>
        <w:gridCol w:w="775"/>
        <w:gridCol w:w="153"/>
        <w:gridCol w:w="109"/>
        <w:gridCol w:w="109"/>
        <w:gridCol w:w="109"/>
        <w:gridCol w:w="196"/>
        <w:gridCol w:w="556"/>
        <w:gridCol w:w="226"/>
      </w:tblGrid>
      <w:tr>
        <w:trPr/>
        <w:tc>
          <w:tcPr>
            <w:tcW w:w="7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 ATTRIBUTABLE TO APACHE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8" w:type="dxa"/>
            <w:gridSpan w:val="3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978" w:type="dxa"/>
            <w:gridSpan w:val="3"/>
            <w:tcBorders/>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(5,354)</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290"/>
                <wp:effectExtent l="0" t="0" r="0" b="0"/>
                <wp:wrapNone/>
                <wp:docPr id="10" name="Frame10"/>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38"/>
        <w:gridCol w:w="216"/>
        <w:gridCol w:w="218"/>
        <w:gridCol w:w="109"/>
        <w:gridCol w:w="109"/>
        <w:gridCol w:w="109"/>
        <w:gridCol w:w="109"/>
        <w:gridCol w:w="109"/>
        <w:gridCol w:w="196"/>
        <w:gridCol w:w="556"/>
        <w:gridCol w:w="109"/>
        <w:gridCol w:w="109"/>
        <w:gridCol w:w="109"/>
        <w:gridCol w:w="109"/>
        <w:gridCol w:w="235"/>
        <w:gridCol w:w="686"/>
        <w:gridCol w:w="131"/>
        <w:gridCol w:w="109"/>
        <w:gridCol w:w="109"/>
        <w:gridCol w:w="109"/>
        <w:gridCol w:w="109"/>
        <w:gridCol w:w="109"/>
        <w:gridCol w:w="374"/>
        <w:gridCol w:w="632"/>
        <w:gridCol w:w="210"/>
        <w:gridCol w:w="109"/>
        <w:gridCol w:w="109"/>
        <w:gridCol w:w="109"/>
        <w:gridCol w:w="317"/>
        <w:gridCol w:w="901"/>
        <w:gridCol w:w="178"/>
        <w:gridCol w:w="109"/>
        <w:gridCol w:w="109"/>
        <w:gridCol w:w="109"/>
        <w:gridCol w:w="273"/>
        <w:gridCol w:w="775"/>
        <w:gridCol w:w="153"/>
        <w:gridCol w:w="109"/>
        <w:gridCol w:w="109"/>
        <w:gridCol w:w="109"/>
        <w:gridCol w:w="196"/>
        <w:gridCol w:w="556"/>
        <w:gridCol w:w="157"/>
      </w:tblGrid>
      <w:tr>
        <w:trPr/>
        <w:tc>
          <w:tcPr>
            <w:tcW w:w="7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 ATTRIBUTABLE TO APACHE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2"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36" w:type="dxa"/>
            <w:gridSpan w:val="6"/>
            <w:tcBorders/>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(5,354)</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290"/>
                <wp:effectExtent l="0" t="0" r="0" b="0"/>
                <wp:wrapNone/>
                <wp:docPr id="11" name="Frame11"/>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APACHE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have been prepared by Apache Corporation (Apache or the Company) without audit, pursuant to the rules and regulations of the Securities and Exchange Commission (SEC). The Company files these consolidated financial statements with the SEC as a voluntary filer to comply with the terms of certain of the Company’s outstanding debt instruments.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2023, which contains a summary of the Company’s significant accounting policies and other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significant accounting policies are consistent with those discussed in Note 1—Summary of Significant Accounting Policies of the Notes to Consolidated Financial Statements contained in the Company’s Annual Report on Form 10-K for the fiscal year ended December 31, 2023. The Company’s financial statements for prior periods may include reclassifications that were made to conform to the current-year presentation.</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Principles of Consolidation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Apache and its subsidiaries after elimination of intercompany balances and transactions.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APA Corporation (APA) also owns a noncontrolling interest in Apache’s consolidated Egypt oil and gas business. Refer to </w:t>
      </w:r>
      <w:hyperlink w:anchor="i1eb8f2bab0c34508a9b67244bfedf258_49">
        <w:r>
          <w:rPr>
            <w:rStyle w:val="InternetLink"/>
            <w:rFonts w:ascii="Times New Roman;sans-serif" w:hAnsi="Times New Roman;sans-serif"/>
            <w:b w:val="false"/>
            <w:color w:val="0000FF"/>
            <w:sz w:val="20"/>
            <w:u w:val="single"/>
          </w:rPr>
          <w:t>Note 2—Transactions with Parent Affiliate</w:t>
        </w:r>
      </w:hyperlink>
      <w:r>
        <w:rPr>
          <w:color w:val="000000"/>
        </w:rPr>
        <w:t xml:space="preserve"> </w:t>
      </w:r>
      <w:r>
        <w:rPr>
          <w:rFonts w:ascii="Times New Roman;sans-serif" w:hAnsi="Times New Roman;sans-serif"/>
          <w:b w:val="false"/>
          <w:color w:val="000000"/>
          <w:sz w:val="20"/>
        </w:rPr>
        <w:t>for detail regarding APA’s noncontrolling interest. The Company has determined that one of its limited partnership subsidiaries, which has control over Apache’s Egyptian operations, qualifies as a variable interest entity (VIE) under GAAP. Apache consolidates this limited partnership subsidiary because the Company has concluded that it has a controlling financial interest in the Egyptian operations and was determined to be the primary beneficiary of the VIE.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which the Company has significant influence, but not control, are accounted for under the equity method of accounting. During each of the periods ended March 31, 2024 and June 30, 2023, the Company had a designated director on the Kinetik Holdings Inc. (Kinetik) board of directors. The Company’s designated director resigned from the Kinetik board of directors on April 3, 2024. As a result, the Company is considered to have had significant influence over Kinetik for all periods presented except for the quarter ended June 30, 2024.</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As of December 31, 2023, the Company held shares of Kinetik Class A Common Stock (Kinetik Shares), which were recorded separately as “Equity method interests” in the Company’s consolidated balance sheet. On March 18, 2024, the Company sold its remaining Kinetik Shares. Refer to </w:t>
      </w:r>
      <w:hyperlink w:anchor="i1eb8f2bab0c34508a9b67244bfedf258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hyperlink w:anchor="i1eb8f2bab0c34508a9b67244bfedf258_55">
        <w:r>
          <w:rPr>
            <w:rStyle w:val="InternetLink"/>
            <w:rFonts w:ascii="Times New Roman;sans-serif" w:hAnsi="Times New Roman;sans-serif"/>
            <w:b w:val="false"/>
            <w:color w:val="0000FF"/>
            <w:sz w:val="20"/>
            <w:u w:val="single"/>
          </w:rPr>
          <w:t>Note 3—Acquisitions and Divestitures</w:t>
        </w:r>
      </w:hyperlink>
      <w:r>
        <w:rPr>
          <w:rFonts w:ascii="Times New Roman;sans-serif" w:hAnsi="Times New Roman;sans-serif"/>
          <w:b w:val="false"/>
          <w:color w:val="000000"/>
          <w:sz w:val="20"/>
        </w:rPr>
        <w:t xml:space="preserve">), the assessment of asset retirement obligations (refer to </w:t>
      </w:r>
      <w:hyperlink w:anchor="i1eb8f2bab0c34508a9b67244bfedf258_73">
        <w:r>
          <w:rPr>
            <w:rStyle w:val="InternetLink"/>
            <w:rFonts w:ascii="Times New Roman;sans-serif" w:hAnsi="Times New Roman;sans-serif"/>
            <w:b w:val="false"/>
            <w:color w:val="0000FF"/>
            <w:sz w:val="20"/>
            <w:u w:val="single"/>
          </w:rPr>
          <w:t>Note 8—Asset Retirement Obligation</w:t>
        </w:r>
      </w:hyperlink>
      <w:r>
        <w:rPr>
          <w:rFonts w:ascii="Times New Roman;sans-serif" w:hAnsi="Times New Roman;sans-serif"/>
          <w:b w:val="false"/>
          <w:color w:val="000000"/>
          <w:sz w:val="20"/>
        </w:rPr>
        <w:t xml:space="preserve">), the estimate of income taxes (refer to </w:t>
      </w:r>
      <w:hyperlink w:anchor="i1eb8f2bab0c34508a9b67244bfedf258_82">
        <w:r>
          <w:rPr>
            <w:rStyle w:val="InternetLink"/>
            <w:rFonts w:ascii="Times New Roman;sans-serif" w:hAnsi="Times New Roman;sans-serif"/>
            <w:b w:val="false"/>
            <w:color w:val="0000FF"/>
            <w:sz w:val="20"/>
            <w:u w:val="single"/>
          </w:rPr>
          <w:t>Note 10—Income Taxes</w:t>
        </w:r>
      </w:hyperlink>
      <w:r>
        <w:rPr>
          <w:rFonts w:ascii="Times New Roman;sans-serif" w:hAnsi="Times New Roman;sans-serif"/>
          <w:b w:val="false"/>
          <w:color w:val="000000"/>
          <w:sz w:val="20"/>
        </w:rPr>
        <w:t xml:space="preserve">), the estimation of the contingent liability representing Apache’s potential decommissioning obligations on sold properties in the Gulf of Mexico (refer to </w:t>
      </w:r>
      <w:hyperlink w:anchor="i1eb8f2bab0c34508a9b67244bfedf258_85">
        <w:r>
          <w:rPr>
            <w:rStyle w:val="InternetLink"/>
            <w:rFonts w:ascii="Times New Roman;sans-serif" w:hAnsi="Times New Roman;sans-serif"/>
            <w:b w:val="false"/>
            <w:color w:val="0000FF"/>
            <w:sz w:val="20"/>
            <w:u w:val="single"/>
          </w:rPr>
          <w:t>Note 11—Commitments and Contingencies</w:t>
        </w:r>
      </w:hyperlink>
      <w:r>
        <w:rPr>
          <w:rFonts w:ascii="Times New Roman;sans-serif" w:hAnsi="Times New Roman;sans-serif"/>
          <w:b w:val="false"/>
          <w:color w:val="000000"/>
          <w:sz w:val="20"/>
        </w:rPr>
        <w:t>), and the estimate of proved oil and gas reserves and related present value estimates of future net cash flows therefrom.</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1eb8f2bab0c34508a9b67244bfedf258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 xml:space="preserve">and </w:t>
      </w:r>
      <w:hyperlink w:anchor="i1eb8f2bab0c34508a9b67244bfedf258_76">
        <w:r>
          <w:rPr>
            <w:rStyle w:val="InternetLink"/>
            <w:rFonts w:ascii="Times New Roman;sans-serif" w:hAnsi="Times New Roman;sans-serif"/>
            <w:b w:val="false"/>
            <w:color w:val="0000FF"/>
            <w:sz w:val="20"/>
            <w:u w:val="single"/>
          </w:rPr>
          <w:t>Note 9—Debt and Financing Costs</w:t>
        </w:r>
      </w:hyperlink>
      <w:r>
        <w:rPr>
          <w:color w:val="000000"/>
        </w:rPr>
        <w:t xml:space="preserve"> </w:t>
      </w:r>
      <w:r>
        <w:rPr>
          <w:rFonts w:ascii="Times New Roman;sans-serif" w:hAnsi="Times New Roman;sans-serif"/>
          <w:b w:val="false"/>
          <w:color w:val="000000"/>
          <w:sz w:val="20"/>
        </w:rPr>
        <w:t>for further detail regarding the Company’s fair value measurements recorded on a recurring basis.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the Company recorded no asset impairments in connection with fair value assessments.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Receivable from / Payable to APA</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Receivable from or payable to APA represents the net result of Apache’s administrative and support services provided to APA and other miscellaneous cash management transactions to be settled between the two affiliated entities. Cash will be transferred to Apache or paid to APA over time in order to manage affiliate balances for cash management purposes. Refer to </w:t>
      </w:r>
      <w:hyperlink w:anchor="i1eb8f2bab0c34508a9b67244bfedf258_49">
        <w:r>
          <w:rPr>
            <w:rStyle w:val="InternetLink"/>
            <w:rFonts w:ascii="Times New Roman;sans-serif" w:hAnsi="Times New Roman;sans-serif"/>
            <w:b w:val="false"/>
            <w:color w:val="0000FF"/>
            <w:sz w:val="20"/>
            <w:u w:val="single"/>
          </w:rPr>
          <w:t>Note 2—Transactions with Parent Affiliate</w:t>
        </w:r>
      </w:hyperlink>
      <w:r>
        <w:rPr>
          <w:color w:val="000000"/>
        </w:rPr>
        <w:t xml:space="preserve"> </w:t>
      </w:r>
      <w:r>
        <w:rPr>
          <w:rFonts w:ascii="Times New Roman;sans-serif" w:hAnsi="Times New Roman;sans-serif"/>
          <w:b w:val="false"/>
          <w:color w:val="000000"/>
          <w:sz w:val="20"/>
        </w:rPr>
        <w:t>for more detail.</w:t>
      </w:r>
    </w:p>
    <w:p>
      <w:pPr>
        <w:pStyle w:val="TextBody"/>
        <w:bidi w:val="0"/>
        <w:spacing w:lineRule="auto" w:line="288" w:before="200" w:after="283"/>
        <w:jc w:val="left"/>
        <w:rPr/>
      </w:pPr>
      <w:r>
        <w:rPr>
          <w:rFonts w:ascii="Times New Roman;sans-serif" w:hAnsi="Times New Roman;sans-serif"/>
          <w:b/>
          <w:color w:val="000000"/>
          <w:sz w:val="20"/>
          <w:u w:val="single"/>
        </w:rPr>
        <w:t>Revenue Recognition</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from contracts with customers, including receivables for purchased oil and gas sales and net of allowance for credit losses, were $1.6 billion and $1.4 billion as of June 30, 2024 and December 31, 2023, respectively. Payments under all contracts with customers are typically due and received within a short-term period of one year or less, after physical delivery of the product or service has been rendered. Over the past year, the Company experienced a gradual decline in the timeliness of receipts from the Egyptian General Petroleum Corporation (EGPC) for the Company’s Egyptian oil and gas sales. The Company is conducting ongoing discussions with the Government of Egypt to resolve the delay in EGPC payments. The Company continues to collect on these receivables, albeit late, and management believes that the Company will be able to collect the total balance of its receivables from this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1eb8f2bab0c34508a9b67244bfedf258_91">
        <w:r>
          <w:rPr>
            <w:rStyle w:val="InternetLink"/>
            <w:rFonts w:ascii="Times New Roman;sans-serif" w:hAnsi="Times New Roman;sans-serif"/>
            <w:b w:val="false"/>
            <w:color w:val="0000FF"/>
            <w:sz w:val="20"/>
            <w:u w:val="single"/>
          </w:rPr>
          <w:t>Note 12—Business Segment Information</w:t>
        </w:r>
      </w:hyperlink>
      <w:r>
        <w:rPr>
          <w:color w:val="000000"/>
        </w:rPr>
        <w:t xml:space="preserve"> </w:t>
      </w:r>
      <w:r>
        <w:rPr>
          <w:rFonts w:ascii="Times New Roman;sans-serif" w:hAnsi="Times New Roman;sans-serif"/>
          <w:b w:val="false"/>
          <w:color w:val="000000"/>
          <w:sz w:val="20"/>
        </w:rPr>
        <w:t xml:space="preserve">for a disaggregation of oil, gas, and natural gas production revenue by product and reporting segment.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Inventories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recorded $46 million of impairments in connection with valuations of drilling and operations equipment inventory upon the Company’s decision to suspend drilling operations in the North Sea. There were no impairments recorded during the three and six months ended June 30, 2024.</w:t>
      </w:r>
    </w:p>
    <w:p>
      <w:pPr>
        <w:pStyle w:val="TextBody"/>
        <w:bidi w:val="0"/>
        <w:spacing w:lineRule="auto" w:line="288" w:before="200" w:after="283"/>
        <w:jc w:val="both"/>
        <w:rPr/>
      </w:pPr>
      <w:r>
        <w:rPr>
          <w:rFonts w:ascii="Times New Roman;sans-serif" w:hAnsi="Times New Roman;sans-serif"/>
          <w:b/>
          <w:color w:val="000000"/>
          <w:sz w:val="20"/>
          <w:u w:val="single"/>
        </w:rPr>
        <w:t>Property and Equipment</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 </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Oil and Gas Property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hyperlink w:anchor="i1eb8f2bab0c34508a9b67244bfedf258_55">
        <w:r>
          <w:rPr>
            <w:rStyle w:val="InternetLink"/>
            <w:rFonts w:ascii="Times New Roman;sans-serif" w:hAnsi="Times New Roman;sans-serif"/>
            <w:b w:val="false"/>
            <w:color w:val="0000FF"/>
            <w:sz w:val="20"/>
            <w:u w:val="single"/>
          </w:rPr>
          <w:t>Note 3—Acquisitions and Divestitures</w:t>
        </w:r>
      </w:hyperlink>
      <w:r>
        <w:rPr>
          <w:color w:val="000000"/>
        </w:rPr>
        <w:t xml:space="preserve"> </w:t>
      </w:r>
      <w:r>
        <w:rPr>
          <w:rFonts w:ascii="Times New Roman;sans-serif" w:hAnsi="Times New Roman;sans-serif"/>
          <w:b w:val="false"/>
          <w:color w:val="000000"/>
          <w:sz w:val="20"/>
        </w:rPr>
        <w:t xml:space="preserve">for more detail.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Gathering, Processing, and Transmission (GPT) Facilities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GPT facilities are depreciated on a straight-line basis over the estimated useful lives of the assets. The estimation of useful life takes into consideration anticipated production lives from the fields serviced by the GPT assets, whether Apache-operated or third party-operated, as well as potential development plans by the Company for undeveloped acreage within, or close to, those fields.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Pronouncements Issued But Not Yet Adopted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recently issued or adopted accounting standards from those disclosed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TRANSACTIONS WITH PARENT AFFILIATE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is a direct, wholly owned subsidiary of APA. Apache holds assets in the U.S., Egypt, and the U.K. and provides administrative and support operations for certain APA subsidiaries with interests in the U.S., Suriname, and other international locations. The Company incurred $14 million and $6 million in the second quarters of 2024 and 2023, respectively, and $22 million and $11 million in the first six months of 2024 and 2023, respectively, in reimbursable corporate overhead charges in connection with these administration and support operations.</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Notes Receivable from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2021, Apache sold to APA all of the equity in the three Apache subsidiaries through which Apache’s interests in Suriname and the Dominican Republic were held. The purchase price is payable pursuant to a senior promissory note made by APA payable to Apache, dated March 1, 2021. The note has a seven-year term, maturing on February 29, 2028, and bears interest at a rate of 4.5 percent per annum, payable semi-annually, subject to APA’s option to allow accrued interest to convert to principal (PIK) during the first 5.5 years of the note’s term (to August 31, 2026). The note is guaranteed by each of the three subsidiaries sold by Apache to APA. APA allowed interest accrued from August 31, 2023 through February 29, 2024, totaling $192 million, to PIK pursuant to the note. At each of June 30, 2024 and December 31, 2023, there was approximately $1.5 billion in principal outstanding under this note.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 also made a senior promissory note payable to Apache, dated March 31, 2023, as amended April 30, 2024, pursuant to which Apache may loan and APA may borrow, repay, and reborrow up to $2.0 billion in aggregate principal amount outstanding at any time. The note has a five-year term, maturing March 31, 2028. The note bears interest at a rate per annum of 6.0 percent, payable semi-annually; however, APA may allow accrued interest to convert to principal, subject to the aggregate maximum principal amount of the note. As of June 30, 2024 and December 31, 2023, there were approximately $2.0 billion and $1.5 billion, respectively, in borrowings outstanding under this note. The note is intended to facilitate cash management of APA and Apache.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notes are both reflected in “Notes receivable from APA Corporation” on the Company’s consolidated balance sheet. The Company recognized interest income on these notes totaling $44 million and $29 million during the second quarters of 2024 and 2023, respectively, and $80 million and $45 million during the first six months of 2024 and 2023, respectively. The interest income related to these notes is reflected in “Financing costs, net” on the Company’s statement of consolidated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Noncontrolling Interest –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2021, in conjunction with the ratification of a new merged concession agreement (MCA) with the EGPC, Apache entered into an agreement with APA under which the historical value of existing concessions prior to ratifying the MCA was retained by Apache, with any excess value from the MCA terms being allocated to APA. Sinopec owns a one-third minority participation in the Company’s consolidated Egypt oil and gas business, and 64 percent and 50 percent of the remaining net income and distributable cash flow for the Company’s Egyptian operations is allocated to APA in 2024 and 2023, respectively. Apache consolidates its Egyptian operations, with APA’s noncontrolling interest reflected as a separate component in the Company’s consolidated balance sheet. The Company recorded net income attributable to APA’s noncontrolling interest of $102 million and $81 million in the second quarters of 2024 and 2023, respectively, and $204 million and $165 million in the first six months of 2024 and 2023, respectively. The Company also distributed $157 million and $100 million in the first six months of 2024 and 2023, respectively, of cash to APA in association with its noncontrolling interest.</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Accounts Receivable from / Accounts Payable to APA</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role as service provider to APA, Apache is reimbursed by APA for employee costs, certain internal costs, and third-party costs paid by the Company on behalf of APA. All reimbursements are based on actual costs incurred, and no market premium is applied by the Company to APA. The Company also collects third-party receivables on behalf of APA. As of June 30, 2024 and December 31, 2023, the Company had accounts receivable from APA in connection with these services totaling $68 million and $52 million, respectively, which is reflected in “Accounts receivable from APA Corporation” on the Company’s consolidated balance sheet.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receivables from APA totaling $470 million and $93 million, respectively. This balance is reflected in “Noncurrent receivable from APA Corporation” on the Company’s consolidated balance sheet.</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Other Transactions with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at its discretion, make distributions of capital to APA. Capital distributions totaling $168 million were made during the first six months of 2024 primarily in support of dividend payments and capital transactions completed by APA during the period. No capital distributions were made during the first six months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 Activity</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2024, the Company completed the sale of non-core acreage in the East Texas Austin Chalk and Eagle Ford plays that had a carrying value of $347 million for aggregate cash proceeds of $253 million and the assumption of asset retirement obligations of $48 million. The Company recognized a $46 million loss during the second quarter of 2024 in association with this sale.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also completed the sale of non-core mineral and royalty interests in the Permian Basin that had a carrying value of $71 million for approximately $392 million after post-closing adjustments. The Company recognized a gain of $321 million during the second quarter of 2024 in association with this sale.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second quarter and first six months of 2024, the Company completed the sale of non-core assets and leasehold in multiple transactions for aggregate cash proceeds of $41 million and $68 million, respectively, recognizing a gain of approximately $1 million and $8 million, respectively, upon closing of these transactions.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Sale of Kinetik Shares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March 18, 2024, the Company sold its remaining Kinetik Shares for cash proceeds of $428 million. Refer to </w:t>
      </w:r>
      <w:hyperlink w:anchor="i1eb8f2bab0c34508a9b67244bfedf258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completed leasehold and property acquisitions, primarily in the Permian Basin, for aggregate cash consideration of approximately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Activity</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and first six months of 2023, the Company completed leasehold and property acquisitions, primarily in the Permian Basin, for aggregate cash consideration of approximately $5 million and $10 million, respectively. </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and first six months of 2023, the Company completed the sale of non-core assets and leasehold in multiple transactions for aggregate cash proceeds of $7 million and $28 million, respectively, recognizing a gain of approximately $5 million and $6 million, respectively, upon closing of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    CAPITALIZED EXPLORATORY WELL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capitalized exploratory well costs were $78 million and $47 million as of June 30, 2024 and December 31, 2023, respectively. The balance is primarily attributable to additional drilling activity in Egypt, partially offset by the transfer of successful well costs during the quarter. No suspended exploratory well costs previously capitalized for greater than one year at December 31, 2023 were charged to dry hole expense during the second quarter of 2024. During the first quarter of 2024, approximately $9 million of suspended well costs previously capitalized for greater than one year at December 31, 2023 were charged to dry hole expense.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assets:</w:t>
      </w:r>
    </w:p>
    <w:tbl>
      <w:tblPr>
        <w:tblW w:w="7358" w:type="dxa"/>
        <w:jc w:val="left"/>
        <w:tblInd w:w="0" w:type="dxa"/>
        <w:tblLayout w:type="fixed"/>
        <w:tblCellMar>
          <w:top w:w="28" w:type="dxa"/>
          <w:left w:w="28" w:type="dxa"/>
          <w:bottom w:w="28" w:type="dxa"/>
          <w:right w:w="28" w:type="dxa"/>
        </w:tblCellMar>
      </w:tblPr>
      <w:tblGrid>
        <w:gridCol w:w="1731"/>
        <w:gridCol w:w="1514"/>
        <w:gridCol w:w="1525"/>
        <w:gridCol w:w="109"/>
        <w:gridCol w:w="109"/>
        <w:gridCol w:w="109"/>
        <w:gridCol w:w="202"/>
        <w:gridCol w:w="435"/>
        <w:gridCol w:w="112"/>
        <w:gridCol w:w="109"/>
        <w:gridCol w:w="109"/>
        <w:gridCol w:w="109"/>
        <w:gridCol w:w="300"/>
        <w:gridCol w:w="647"/>
        <w:gridCol w:w="238"/>
      </w:tblGrid>
      <w:tr>
        <w:trPr/>
        <w:tc>
          <w:tcPr>
            <w:tcW w:w="173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assets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security for sold Gulf of Mexico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    EQUITY METHOD INTERESTS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13.1 million Kinetik Shares, which were recorded at fair value of $437 million and reflected separately as “Equity method interests” in the Company’s consolidated balance sheet. The Company elected the fair value option for measuring its equity method interest in Kinetik based on practical expedience, variances in reporting timelines, and cost-benefit considerations. The fair value of the Company’s interest in Kinetik was determined using observable share prices on a major exchange, a Level 1 fair value measurement. On March 18, 2024, the Company sold its remaining Kinetik Shares for cash proceeds of $428 million.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Company’s sale of its remaining Kinetik Shares and the resignation of the Company’s designated director from the Kinetik board of directors, the Company recorded changes in the fair value of its equity method interest in Kinetik totaling a loss of $9 million in the first quarter of 2024, and gains of $90 million and $71 million in the second quarter and the first six months of 2023, respectively. This loss and these gains were recorded as a component of “Revenues and Other” in the Company’s statement of consolidated operations.</w:t>
      </w:r>
    </w:p>
    <w:p>
      <w:pPr>
        <w:pStyle w:val="TextBody"/>
        <w:bidi w:val="0"/>
        <w:spacing w:before="200" w:after="283"/>
        <w:ind w:left="0" w:right="0" w:firstLine="495"/>
        <w:jc w:val="both"/>
        <w:rPr/>
      </w:pPr>
      <w:r>
        <w:rPr/>
      </w:r>
    </w:p>
    <w:p>
      <w:pPr>
        <w:pStyle w:val="TextBody"/>
        <w:bidi w:val="0"/>
        <w:spacing w:before="200" w:after="283"/>
        <w:ind w:left="0" w:right="0" w:firstLine="495"/>
        <w:jc w:val="both"/>
        <w:rPr/>
      </w:pPr>
      <w:r>
        <w:rPr/>
      </w:r>
    </w:p>
    <w:p>
      <w:pPr>
        <w:pStyle w:val="TextBody"/>
        <w:bidi w:val="0"/>
        <w:spacing w:before="200" w:after="283"/>
        <w:ind w:left="0" w:right="0" w:firstLine="495"/>
        <w:jc w:val="both"/>
        <w:rPr/>
      </w:pPr>
      <w:r>
        <w:rPr/>
      </w:r>
    </w:p>
    <w:p>
      <w:pPr>
        <w:pStyle w:val="TextBody"/>
        <w:bidi w:val="0"/>
        <w:spacing w:before="20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related party sales and costs associated with Kinetik prior to the Company’s sale of its remaining Kinetik Shares and the resignation of the Company’s designated director from the Kinetik board of directors:</w:t>
      </w:r>
    </w:p>
    <w:tbl>
      <w:tblPr>
        <w:tblW w:w="8090" w:type="dxa"/>
        <w:jc w:val="left"/>
        <w:tblInd w:w="0" w:type="dxa"/>
        <w:tblLayout w:type="fixed"/>
        <w:tblCellMar>
          <w:top w:w="28" w:type="dxa"/>
          <w:left w:w="28" w:type="dxa"/>
          <w:bottom w:w="28" w:type="dxa"/>
          <w:right w:w="28" w:type="dxa"/>
        </w:tblCellMar>
      </w:tblPr>
      <w:tblGrid>
        <w:gridCol w:w="1222"/>
        <w:gridCol w:w="1071"/>
        <w:gridCol w:w="1082"/>
        <w:gridCol w:w="109"/>
        <w:gridCol w:w="109"/>
        <w:gridCol w:w="109"/>
        <w:gridCol w:w="219"/>
        <w:gridCol w:w="454"/>
        <w:gridCol w:w="122"/>
        <w:gridCol w:w="122"/>
        <w:gridCol w:w="122"/>
        <w:gridCol w:w="122"/>
        <w:gridCol w:w="219"/>
        <w:gridCol w:w="370"/>
        <w:gridCol w:w="122"/>
        <w:gridCol w:w="109"/>
        <w:gridCol w:w="109"/>
        <w:gridCol w:w="109"/>
        <w:gridCol w:w="261"/>
        <w:gridCol w:w="441"/>
        <w:gridCol w:w="145"/>
        <w:gridCol w:w="145"/>
        <w:gridCol w:w="145"/>
        <w:gridCol w:w="145"/>
        <w:gridCol w:w="261"/>
        <w:gridCol w:w="441"/>
        <w:gridCol w:w="205"/>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and NGLs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OTHER CURRENT LIABILITIES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liabilities:</w:t>
      </w:r>
    </w:p>
    <w:tbl>
      <w:tblPr>
        <w:tblW w:w="8054" w:type="dxa"/>
        <w:jc w:val="left"/>
        <w:tblInd w:w="0" w:type="dxa"/>
        <w:tblLayout w:type="fixed"/>
        <w:tblCellMar>
          <w:top w:w="28" w:type="dxa"/>
          <w:left w:w="28" w:type="dxa"/>
          <w:bottom w:w="28" w:type="dxa"/>
          <w:right w:w="28" w:type="dxa"/>
        </w:tblCellMar>
      </w:tblPr>
      <w:tblGrid>
        <w:gridCol w:w="1940"/>
        <w:gridCol w:w="1700"/>
        <w:gridCol w:w="1715"/>
        <w:gridCol w:w="109"/>
        <w:gridCol w:w="109"/>
        <w:gridCol w:w="109"/>
        <w:gridCol w:w="196"/>
        <w:gridCol w:w="556"/>
        <w:gridCol w:w="109"/>
        <w:gridCol w:w="109"/>
        <w:gridCol w:w="109"/>
        <w:gridCol w:w="109"/>
        <w:gridCol w:w="256"/>
        <w:gridCol w:w="727"/>
        <w:gridCol w:w="201"/>
      </w:tblGrid>
      <w:tr>
        <w:trPr/>
        <w:tc>
          <w:tcPr>
            <w:tcW w:w="19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exploration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contingency for sold Gulf of Mexico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ASSET RETIREMENT OBLIGATION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changes to the Company’s asset retirement obligation (ARO) liability:</w:t>
      </w:r>
    </w:p>
    <w:tbl>
      <w:tblPr>
        <w:tblW w:w="4855" w:type="dxa"/>
        <w:jc w:val="left"/>
        <w:tblInd w:w="0" w:type="dxa"/>
        <w:tblLayout w:type="fixed"/>
        <w:tblCellMar>
          <w:top w:w="28" w:type="dxa"/>
          <w:left w:w="28" w:type="dxa"/>
          <w:bottom w:w="28" w:type="dxa"/>
          <w:right w:w="28" w:type="dxa"/>
        </w:tblCellMar>
      </w:tblPr>
      <w:tblGrid>
        <w:gridCol w:w="1269"/>
        <w:gridCol w:w="1116"/>
        <w:gridCol w:w="1124"/>
        <w:gridCol w:w="109"/>
        <w:gridCol w:w="109"/>
        <w:gridCol w:w="109"/>
        <w:gridCol w:w="219"/>
        <w:gridCol w:w="625"/>
        <w:gridCol w:w="175"/>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Revisions in estimated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DEBT AND FINANCING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values of the Company’s debt:</w:t>
      </w:r>
    </w:p>
    <w:tbl>
      <w:tblPr>
        <w:tblW w:w="8248" w:type="dxa"/>
        <w:jc w:val="left"/>
        <w:tblInd w:w="0" w:type="dxa"/>
        <w:tblLayout w:type="fixed"/>
        <w:tblCellMar>
          <w:top w:w="28" w:type="dxa"/>
          <w:left w:w="28" w:type="dxa"/>
          <w:bottom w:w="28" w:type="dxa"/>
          <w:right w:w="28" w:type="dxa"/>
        </w:tblCellMar>
      </w:tblPr>
      <w:tblGrid>
        <w:gridCol w:w="2010"/>
        <w:gridCol w:w="1764"/>
        <w:gridCol w:w="1775"/>
        <w:gridCol w:w="109"/>
        <w:gridCol w:w="109"/>
        <w:gridCol w:w="109"/>
        <w:gridCol w:w="196"/>
        <w:gridCol w:w="556"/>
        <w:gridCol w:w="109"/>
        <w:gridCol w:w="109"/>
        <w:gridCol w:w="109"/>
        <w:gridCol w:w="109"/>
        <w:gridCol w:w="256"/>
        <w:gridCol w:w="727"/>
        <w:gridCol w:w="201"/>
      </w:tblGrid>
      <w:tr>
        <w:trPr/>
        <w:tc>
          <w:tcPr>
            <w:tcW w:w="201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Notes and debentures before unamortized discount and debt issuance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The fair values of the Company’s notes and debentures were $4.3 billion at each of June 30, 2024 and December 31, 2023.</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Apache uses a market approach to determine the fair values of its notes and debentures using estimates provided by an independent investment financial data services firm (a Level 2 fair value measurement).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each of June 30, 2024 and December 31, 2023, current debt included $2 million of finance lease obligations.</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financing costs, net:</w:t>
      </w:r>
    </w:p>
    <w:tbl>
      <w:tblPr>
        <w:tblW w:w="8562" w:type="dxa"/>
        <w:jc w:val="left"/>
        <w:tblInd w:w="0" w:type="dxa"/>
        <w:tblLayout w:type="fixed"/>
        <w:tblCellMar>
          <w:top w:w="28" w:type="dxa"/>
          <w:left w:w="28" w:type="dxa"/>
          <w:bottom w:w="28" w:type="dxa"/>
          <w:right w:w="28" w:type="dxa"/>
        </w:tblCellMar>
      </w:tblPr>
      <w:tblGrid>
        <w:gridCol w:w="1395"/>
        <w:gridCol w:w="1227"/>
        <w:gridCol w:w="1233"/>
        <w:gridCol w:w="109"/>
        <w:gridCol w:w="109"/>
        <w:gridCol w:w="109"/>
        <w:gridCol w:w="229"/>
        <w:gridCol w:w="388"/>
        <w:gridCol w:w="127"/>
        <w:gridCol w:w="127"/>
        <w:gridCol w:w="127"/>
        <w:gridCol w:w="127"/>
        <w:gridCol w:w="229"/>
        <w:gridCol w:w="388"/>
        <w:gridCol w:w="127"/>
        <w:gridCol w:w="109"/>
        <w:gridCol w:w="109"/>
        <w:gridCol w:w="109"/>
        <w:gridCol w:w="235"/>
        <w:gridCol w:w="505"/>
        <w:gridCol w:w="130"/>
        <w:gridCol w:w="130"/>
        <w:gridCol w:w="130"/>
        <w:gridCol w:w="130"/>
        <w:gridCol w:w="235"/>
        <w:gridCol w:w="505"/>
        <w:gridCol w:w="18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 from APA Corporation, net (</w:t>
            </w:r>
            <w:hyperlink w:anchor="i1eb8f2bab0c34508a9b67244bfedf258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Apache purchased in the open market and canceled senior notes issued under its indentures in an aggregate principal amount of $74 million for an aggregate purchase price of $65 million in cash. The Company recognized a $9 million gain on these repurchases.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APA Unsecured 2022 Committed Credit Facilities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Apache entered into two unsecured guaranties of obligations under two unsecured syndicated credit agreements then entered into by APA, of which Apache is a wholly owned subsidiary. These APA credit agreements are for general corporate purposes.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One agreement is denominated in US dollars (the USD Agreement) and provides for an unsecured five-year revolving credit facility, with aggregate commitments of US$1.8 billion (including a letter of credit subfacility of up to US$750 million, of which US$150 million currently is committed). APA may increase commitments up to an aggregate US$2.3 billion by adding new lenders or obtaining the consent of any increasing existing lenders. This facility matures in April 2027, subject to APA’s two, one-year extension options.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April 2027, subject to APA’s two, one-year extension options.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may borrow under APA’s USD Agreement up to an aggregate principal amount of US$300 million outstanding at any given time. As of June 30, 2024 and December 31, 2023, there were no borrowings by Apache outstanding under the USD Agreement. Apache has guaranteed obligations under each of the USD Agreement and GBP Agreement effective until the aggregate principal amount of indebtedness under senior notes and debentures outstanding under Apache’s existing indentures first is less than US$1.0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APA had $395 million of borrowings under the USD Agreement and an aggregate £348 million in letters of credit outstanding under the GBP Agreement. As of June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Uncommitted Lines of Credit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from time to time, has and uses uncommitted credit and letter of credit facilities for working capital and credit support purposes. As of June 30, 2024 and December 31, 2023, there were no outstanding borrowings under these facilities. As of June 30, 2024, there were £296 million and $11 million, respectively, in letters of credit outstanding under these facilities. As of December 31, 2023, there were £296 million and $2 million, respectively, in letters of credit outstanding under these facilities.</w:t>
      </w:r>
    </w:p>
    <w:p>
      <w:pPr>
        <w:pStyle w:val="TextBody"/>
        <w:bidi w:val="0"/>
        <w:spacing w:lineRule="auto" w:line="288" w:before="200" w:after="283"/>
        <w:jc w:val="both"/>
        <w:rPr/>
      </w:pPr>
      <w:r>
        <w:rPr>
          <w:rFonts w:ascii="Times New Roman;sans-serif" w:hAnsi="Times New Roman;sans-serif"/>
          <w:b/>
          <w:color w:val="000000"/>
          <w:sz w:val="20"/>
          <w:u w:val="single"/>
        </w:rPr>
        <w:t>APA Commercial Paper Program</w:t>
      </w:r>
      <w:r>
        <w:rPr>
          <w:color w:val="000000"/>
          <w:u w:val="single"/>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APA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APA had $40 million in aggregate face amount of CP Notes outstanding. As of December 31, 2023, there were no CP Notes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APA Unsecured Committed Term Loan Facility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2024, Apache entered into an unsecured guaranty of obligations under an unsecured syndicated credit agreement then entered into by APA under which the lenders committed an aggregate $2.0 billion for senior unsecured delayed-draw term loans to APA (Term Loan Credit Agreement), the proceeds of which could be used to refinance certain indebtedness of Callon Petroleum Company, a Delaware corporation (Callon), only on the date of closing of transactions under the Merger Agreement. Apache has guaranteed obligations under the Term Loan Credit Agreement effective until the aggregate principal amount of indebtedness under senior notes and debentures outstanding under Apache’s existing indentures first is less than $1.0 billion.</w:t>
      </w:r>
    </w:p>
    <w:p>
      <w:pPr>
        <w:pStyle w:val="TextBody"/>
        <w:bidi w:val="0"/>
        <w:spacing w:lineRule="auto" w:line="268" w:before="200" w:after="283"/>
        <w:ind w:left="0" w:right="0" w:firstLine="495"/>
        <w:jc w:val="both"/>
        <w:rPr/>
      </w:pPr>
      <w:r>
        <w:rPr>
          <w:rFonts w:ascii="Times New Roman;sans-serif" w:hAnsi="Times New Roman;sans-serif"/>
          <w:b w:val="false"/>
          <w:color w:val="000000"/>
          <w:sz w:val="20"/>
        </w:rPr>
        <w:t>On April 1, 2024, APA closed the transactions under the Term Loan Credit Agreement.</w:t>
      </w:r>
      <w:r>
        <w:rPr>
          <w:color w:val="000000"/>
        </w:rPr>
        <w:t xml:space="preserve"> </w:t>
      </w:r>
      <w:r>
        <w:rPr>
          <w:rFonts w:ascii="Times New Roman;sans-serif" w:hAnsi="Times New Roman;sans-serif"/>
          <w:b w:val="false"/>
          <w:color w:val="000000"/>
          <w:sz w:val="20"/>
        </w:rPr>
        <w:t>APA borrowed an aggregate $1.5 billion in senior unsecured term loans that mature April 1, 2027. 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June 30, 2024, $1.5 billion in borrowings remained outstanding under the Term Loan Credit Agreement.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lenders under the Term Loan Credit Agreement committed an aggregate $2.0 billion for senior unsecured delayed-draw term loans to APA available for borrowing only once upon the date of the closings under the Merger Agreement and Term Loan Credit Agreement, of which $1.5 billion was for term loans that would mature three years after the date of such closings (3-Year Tranche Loans) and $500 million was for term loans that would mature 364 days after the date of such closings (364-Day Tranche Loans). APA elected to borrow only under the 3-Year Tranche Loans and to allow the lender commitments for the 364-Day Tranche Loans to expire.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six months ended June 30, 2024 differed from the U.S. federal statutory income tax rate of 21 percent due to taxes on foreign operations. During the second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six months ended June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legal actions arising in the ordinary course of business, including litigation and governmental and regulatory controls, which also may include controls related to the potential impacts of climate change. As of June 30, 2024, the Company has an accrued liability of approximately $76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Legal Matters described below, refer to Note 12—Commitments and Contingencies to the consolidated financial statements contained in the Company’s Annual Report on Form 10-K for the fiscal year ended December 31, 2023.</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Argentine Environmental Claims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left"/>
        <w:rPr/>
      </w:pPr>
      <w:r>
        <w:rPr>
          <w:rFonts w:ascii="Times New Roman;sans-serif" w:hAnsi="Times New Roman;sans-serif"/>
          <w:b/>
          <w:i/>
          <w:color w:val="000000"/>
          <w:sz w:val="20"/>
        </w:rPr>
        <w:t>Louisiana Restoration</w:t>
      </w:r>
      <w:r>
        <w:rPr>
          <w:color w:val="000000"/>
        </w:rPr>
        <w: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the Company’s Annual Report on Form 10-K for the fiscal year ended December 31, 2023,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settlement is subject to court approval, which the parties hope to receive at some point in 2024. The consideration to be provided by the Company in the settlement will not have a material impact on the Company’s financial position. Following settlement of these various lawsuits, the Company will be a defendant in only two remaining coastal zone lawsuits, one filed by the City of New Orleans against the Company and a number of oil and gas operators and the other filed against Callon Offshore Production, Inc., among many other oil and gas operators, and pending in St. Bernard Parish, Louisiana. The Company will now oversee the latter lawsuit as a result of the Callon acquisition.</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Apollo Exploration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a case captioned </w:t>
      </w:r>
      <w:r>
        <w:rPr>
          <w:rFonts w:ascii="Times New Roman;sans-serif" w:hAnsi="Times New Roman;sans-serif"/>
          <w:b w:val="false"/>
          <w:i/>
          <w:color w:val="000000"/>
          <w:sz w:val="20"/>
        </w:rPr>
        <w:t>Apollo Exploration, LLC, Cogent Exploration, Ltd. Co. &amp; SellmoCo, LLC v. Apache Corporation</w:t>
      </w:r>
      <w:r>
        <w:rPr>
          <w:rFonts w:ascii="Times New Roman;sans-serif" w:hAnsi="Times New Roman;sans-serif"/>
          <w:b w:val="false"/>
          <w:color w:val="000000"/>
          <w:sz w:val="20"/>
        </w:rPr>
        <w:t>, Cause No. CV50538 in the 385</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0"/>
        </w:rPr>
        <w:t>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Australian Operations Divestiture Dispute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California and Delaware Litigation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challenge personal jurisdiction in California and to vigorously defend the Delaware lawsuit.</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Kulp Minerals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or about April 7, 2023, Apache was sued in a purported class action in New Mexico styled </w:t>
      </w:r>
      <w:r>
        <w:rPr>
          <w:rFonts w:ascii="Times New Roman;sans-serif" w:hAnsi="Times New Roman;sans-serif"/>
          <w:b w:val="false"/>
          <w:i/>
          <w:color w:val="000000"/>
          <w:sz w:val="20"/>
        </w:rPr>
        <w:t>Kulp Minerals LLC v. Apache Corporation</w:t>
      </w:r>
      <w:r>
        <w:rPr>
          <w:rFonts w:ascii="Times New Roman;sans-serif" w:hAnsi="Times New Roman;sans-serif"/>
          <w:b w:val="false"/>
          <w:color w:val="000000"/>
          <w:sz w:val="20"/>
        </w:rPr>
        <w:t xml:space="preserve">, Case No. D-506-CV-2023-00352 in the Fifth Judicial District. The </w:t>
      </w:r>
      <w:r>
        <w:rPr>
          <w:rFonts w:ascii="Times New Roman;sans-serif" w:hAnsi="Times New Roman;sans-serif"/>
          <w:b w:val="false"/>
          <w:i/>
          <w:color w:val="000000"/>
          <w:sz w:val="20"/>
        </w:rPr>
        <w:t>Kulp Minerals</w:t>
      </w:r>
      <w:r>
        <w:rPr>
          <w:color w:val="000000"/>
        </w:rPr>
        <w:t xml:space="preserve"> </w:t>
      </w:r>
      <w:r>
        <w:rPr>
          <w:rFonts w:ascii="Times New Roman;sans-serif" w:hAnsi="Times New Roman;sans-serif"/>
          <w:b w:val="false"/>
          <w:color w:val="000000"/>
          <w:sz w:val="20"/>
        </w:rPr>
        <w:t>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Shareholder and Derivative Lawsuits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23, 2021, a case captioned </w:t>
      </w:r>
      <w:r>
        <w:rPr>
          <w:rFonts w:ascii="Times New Roman;sans-serif" w:hAnsi="Times New Roman;sans-serif"/>
          <w:b w:val="false"/>
          <w:i/>
          <w:color w:val="000000"/>
          <w:sz w:val="20"/>
        </w:rPr>
        <w:t>Plymouth County Retirement System v. Apache Corporation, et al.</w:t>
      </w:r>
      <w:r>
        <w:rPr>
          <w:color w:val="000000"/>
        </w:rPr>
        <w:t xml:space="preserve"> </w:t>
      </w:r>
      <w:r>
        <w:rPr>
          <w:rFonts w:ascii="Times New Roman;sans-serif" w:hAnsi="Times New Roman;sans-serif"/>
          <w:b w:val="false"/>
          <w:color w:val="000000"/>
          <w:sz w:val="20"/>
        </w:rPr>
        <w:t>was filed in the United States District Court for the Southern District of Texas (Houston Division) against the Company and certain current and former officers. The complaint, which is a shareholder lawsuit styled as a class action, alleges, among other things,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With no admission, concession, or finding of any fault, liability, or wrongdoing, but only to avoid the expense and uncertainty of litigation, the parties have agreed to a settlement resolving all claims made against the defendants by the class. The settlement agreement will be subject to court approval, and a hearing is expected to be held in the coming months. The settlement will not have a material effect on the Company’s financial position, results of operations, or liquidity and is subject to insurance coverage that companies have for these types of claims.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21, 2023, a case captioned </w:t>
      </w:r>
      <w:r>
        <w:rPr>
          <w:rFonts w:ascii="Times New Roman;sans-serif" w:hAnsi="Times New Roman;sans-serif"/>
          <w:b w:val="false"/>
          <w:i/>
          <w:color w:val="000000"/>
          <w:sz w:val="20"/>
        </w:rPr>
        <w:t>Steve Silverman,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Then, on July 21, 2023, a case captioned </w:t>
      </w:r>
      <w:r>
        <w:rPr>
          <w:rFonts w:ascii="Times New Roman;sans-serif" w:hAnsi="Times New Roman;sans-serif"/>
          <w:b w:val="false"/>
          <w:i/>
          <w:color w:val="000000"/>
          <w:sz w:val="20"/>
        </w:rPr>
        <w:t>Yang-Li-Yu,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These cases have now been consolidated as </w:t>
      </w:r>
      <w:r>
        <w:rPr>
          <w:rFonts w:ascii="Times New Roman;sans-serif" w:hAnsi="Times New Roman;sans-serif"/>
          <w:b w:val="false"/>
          <w:i/>
          <w:color w:val="000000"/>
          <w:sz w:val="20"/>
        </w:rPr>
        <w:t>In Re APA Corporation Derivative Litigation</w:t>
      </w:r>
      <w:r>
        <w:rPr>
          <w:rFonts w:ascii="Times New Roman;sans-serif" w:hAnsi="Times New Roman;sans-serif"/>
          <w:b w:val="false"/>
          <w:color w:val="000000"/>
          <w:sz w:val="20"/>
        </w:rPr>
        <w:t xml:space="preserve">, Case No. 4:23-cv-00636 in the Southern District of Texas and purport to be derivative actions brought against senior management and Company directors over many of the same allegations included in the </w:t>
      </w:r>
      <w:r>
        <w:rPr>
          <w:rFonts w:ascii="Times New Roman;sans-serif" w:hAnsi="Times New Roman;sans-serif"/>
          <w:b w:val="false"/>
          <w:i/>
          <w:color w:val="000000"/>
          <w:sz w:val="20"/>
        </w:rPr>
        <w:t>Plymouth County Retirement System</w:t>
      </w:r>
      <w:r>
        <w:rPr>
          <w:color w:val="000000"/>
        </w:rPr>
        <w:t xml:space="preserve"> </w:t>
      </w:r>
      <w:r>
        <w:rPr>
          <w:rFonts w:ascii="Times New Roman;sans-serif" w:hAnsi="Times New Roman;sans-serif"/>
          <w:b w:val="false"/>
          <w:color w:val="000000"/>
          <w:sz w:val="20"/>
        </w:rPr>
        <w:t xml:space="preserve">matter and asserts claims of (1) breach of fiduciary duty; (2) waste of corporate assets; and (3) unjust enrichment. The defendants filed a motion to dismiss the consolidated lawsuits, which is fully briefed and will remain pending following settlement of the </w:t>
      </w:r>
      <w:r>
        <w:rPr>
          <w:rFonts w:ascii="Times New Roman;sans-serif" w:hAnsi="Times New Roman;sans-serif"/>
          <w:b w:val="false"/>
          <w:i/>
          <w:color w:val="000000"/>
          <w:sz w:val="20"/>
        </w:rPr>
        <w:t>Plymouth County Retirement System</w:t>
      </w:r>
      <w:r>
        <w:rPr>
          <w:color w:val="000000"/>
        </w:rPr>
        <w:t xml:space="preserve"> </w:t>
      </w:r>
      <w:r>
        <w:rPr>
          <w:rFonts w:ascii="Times New Roman;sans-serif" w:hAnsi="Times New Roman;sans-serif"/>
          <w:b w:val="false"/>
          <w:color w:val="000000"/>
          <w:sz w:val="20"/>
        </w:rPr>
        <w:t>case noted above.</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Environmental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an undiscounted reserve for environmental remediation of approximately $1 million.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has been approved and entered by the Court. The consideration provided by the Company in connection with the consent decree, which includes a $4 million payment, will not have a material impact on the Company’s financial position.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aware of any environmental claims existing as of June 30, 2024,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Potential Decommissioning Obligations on Sold Properties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ans-serif" w:hAnsi="Times New Roman;sans-serif"/>
          <w:b w:val="false"/>
          <w:color w:val="000000"/>
          <w:sz w:val="20"/>
          <w:shd w:fill="FFFFFF" w:val="clear"/>
        </w:rPr>
        <w:t>the Legacy GOM Assets were separated into a standalone company, which was subsequently merged into GOM Shelf.</w:t>
      </w:r>
      <w:r>
        <w:rPr>
          <w:color w:val="000000"/>
        </w:rPr>
        <w:t xml:space="preserve"> </w:t>
      </w:r>
      <w:r>
        <w:rPr>
          <w:rFonts w:ascii="Times New Roman;sans-serif" w:hAnsi="Times New Roman;sans-serif"/>
          <w:b w:val="false"/>
          <w:color w:val="000000"/>
          <w:sz w:val="20"/>
          <w:shd w:fill="FFFFFF" w:val="clear"/>
        </w:rPr>
        <w:t>Under GOM Shelf’s limited liability company agreement, the proceeds of production of the Legacy GOM Assets are to be used to fund the operation of GOM Shelf and the decommissioning of Legacy GOM Assets.</w:t>
      </w:r>
      <w:r>
        <w:rPr>
          <w:color w:val="000000"/>
        </w:rPr>
        <w:t xml:space="preserve"> </w:t>
      </w:r>
      <w:r>
        <w:rPr>
          <w:rFonts w:ascii="Times New Roman;sans-serif" w:hAnsi="Times New Roman;sans-serif"/>
          <w:b w:val="false"/>
          <w:color w:val="000000"/>
          <w:sz w:val="20"/>
          <w:shd w:fill="FFFFFF" w:val="clear"/>
        </w:rPr>
        <w:t xml:space="preserve">Pursuant to the terms of the original transaction, as amended in the first bankruptcy, </w:t>
      </w:r>
      <w:r>
        <w:rPr>
          <w:rFonts w:ascii="Times New Roman;sans-serif" w:hAnsi="Times New Roman;sans-serif"/>
          <w:b w:val="false"/>
          <w:color w:val="000000"/>
          <w:sz w:val="20"/>
        </w:rPr>
        <w:t>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June 21, 2023, two sureties that issued Bonds directly to Apache and two sureties that issued bonds to the issuing bank on the Letters of Credit filed suit against Apache in a case styled </w:t>
      </w:r>
      <w:r>
        <w:rPr>
          <w:rFonts w:ascii="Times New Roman;sans-serif" w:hAnsi="Times New Roman;sans-serif"/>
          <w:b w:val="false"/>
          <w:i/>
          <w:color w:val="000000"/>
          <w:sz w:val="20"/>
        </w:rPr>
        <w:t>Zurich American Insurance Company, HCC International Insurance Company PLC, Philadelphia Indemnity Insurance Company and Everest Reinsurance Company (Insurers) v. Apache Corporation</w:t>
      </w:r>
      <w:r>
        <w:rPr>
          <w:rFonts w:ascii="Times New Roman;sans-serif" w:hAnsi="Times New Roman;sans-serif"/>
          <w:b w:val="false"/>
          <w:color w:val="000000"/>
          <w:sz w:val="20"/>
        </w:rPr>
        <w:t>, Cause No. 2023-38238 in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Since the time the sureties filed their state court lawsuit, Apache has drawn down the entirety of the Letters of Credit. Apache has also sought to draw down on the Bonds; however, the sureties refuse to pay such Bond draws. Apache is vigorously pursuing its claims against the sureties.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has recorded a $187 million asset, which represents the remaining amount the Company expects to be reimbursed from security related to these decommissioning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contingent liabilities in the amounts of $862 million and $824 million as of June 30, 2024 and December 31, 2023, respectively, representing the estimated costs of decommissioning it may be required to perform on the Legacy GOM Assets. The Company recognized $17 million and $83 million in the second quarter and the first six months of 2024, respectively, of “Loss on previously sold Gulf of Mexico properties.” Amounts recorded in the second quarter of 2024 reflect orders received during the period from BSEE to decommission a property operated and produced by Fieldwood Energy Offshore and Dynamic Offshore Resources NS, LLC. Amounts recorded in the first six months of 2024 also include $33 million related to orders received during the first quarter of 2024 from BSEE to decommission properties previously sold to Cox Operating LLC. The Company recognized no losses for decommissioning previously sold properties during the second quarter and the first six months of 2023. There have been no other changes in estimates from December 31, 2023 that would have a material impact on the Company’s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BUSINESS SEGMENT INFORMATION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is engaged in exploration and production (Upstream) activities across three operating segments: the U.S., Egypt, and North Sea. The Company’s Upstream business explores for, develops, and produces crude oil, natural gas, and natural gas liquids. Financial information for each segment is presented below:</w:t>
      </w:r>
    </w:p>
    <w:tbl>
      <w:tblPr>
        <w:tblW w:w="10173" w:type="dxa"/>
        <w:jc w:val="left"/>
        <w:tblInd w:w="0" w:type="dxa"/>
        <w:tblLayout w:type="fixed"/>
        <w:tblCellMar>
          <w:top w:w="28" w:type="dxa"/>
          <w:left w:w="28" w:type="dxa"/>
          <w:bottom w:w="28" w:type="dxa"/>
          <w:right w:w="28" w:type="dxa"/>
        </w:tblCellMar>
      </w:tblPr>
      <w:tblGrid>
        <w:gridCol w:w="1553"/>
        <w:gridCol w:w="1362"/>
        <w:gridCol w:w="1374"/>
        <w:gridCol w:w="109"/>
        <w:gridCol w:w="109"/>
        <w:gridCol w:w="109"/>
        <w:gridCol w:w="196"/>
        <w:gridCol w:w="421"/>
        <w:gridCol w:w="109"/>
        <w:gridCol w:w="109"/>
        <w:gridCol w:w="109"/>
        <w:gridCol w:w="109"/>
        <w:gridCol w:w="196"/>
        <w:gridCol w:w="421"/>
        <w:gridCol w:w="109"/>
        <w:gridCol w:w="109"/>
        <w:gridCol w:w="109"/>
        <w:gridCol w:w="109"/>
        <w:gridCol w:w="227"/>
        <w:gridCol w:w="487"/>
        <w:gridCol w:w="126"/>
        <w:gridCol w:w="109"/>
        <w:gridCol w:w="109"/>
        <w:gridCol w:w="109"/>
        <w:gridCol w:w="289"/>
        <w:gridCol w:w="600"/>
        <w:gridCol w:w="162"/>
        <w:gridCol w:w="109"/>
        <w:gridCol w:w="109"/>
        <w:gridCol w:w="109"/>
        <w:gridCol w:w="196"/>
        <w:gridCol w:w="55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0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456"/>
        <w:gridCol w:w="1191"/>
        <w:gridCol w:w="1202"/>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89"/>
        <w:gridCol w:w="600"/>
        <w:gridCol w:w="162"/>
        <w:gridCol w:w="109"/>
        <w:gridCol w:w="109"/>
        <w:gridCol w:w="109"/>
        <w:gridCol w:w="196"/>
        <w:gridCol w:w="646"/>
        <w:gridCol w:w="155"/>
      </w:tblGrid>
      <w:tr>
        <w:trPr/>
        <w:tc>
          <w:tcPr>
            <w:tcW w:w="145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offshore decommissioning contingency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17,285 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00" w:after="283"/>
        <w:ind w:left="0" w:right="0" w:firstLine="495"/>
        <w:jc w:val="both"/>
        <w:rPr/>
      </w:pPr>
      <w:r>
        <w:rPr/>
      </w:r>
    </w:p>
    <w:tbl>
      <w:tblPr>
        <w:tblW w:w="10173" w:type="dxa"/>
        <w:jc w:val="left"/>
        <w:tblInd w:w="0" w:type="dxa"/>
        <w:tblLayout w:type="fixed"/>
        <w:tblCellMar>
          <w:top w:w="28" w:type="dxa"/>
          <w:left w:w="28" w:type="dxa"/>
          <w:bottom w:w="28" w:type="dxa"/>
          <w:right w:w="28" w:type="dxa"/>
        </w:tblCellMar>
      </w:tblPr>
      <w:tblGrid>
        <w:gridCol w:w="1553"/>
        <w:gridCol w:w="1362"/>
        <w:gridCol w:w="1374"/>
        <w:gridCol w:w="109"/>
        <w:gridCol w:w="109"/>
        <w:gridCol w:w="109"/>
        <w:gridCol w:w="196"/>
        <w:gridCol w:w="421"/>
        <w:gridCol w:w="109"/>
        <w:gridCol w:w="109"/>
        <w:gridCol w:w="109"/>
        <w:gridCol w:w="109"/>
        <w:gridCol w:w="196"/>
        <w:gridCol w:w="421"/>
        <w:gridCol w:w="109"/>
        <w:gridCol w:w="109"/>
        <w:gridCol w:w="109"/>
        <w:gridCol w:w="109"/>
        <w:gridCol w:w="227"/>
        <w:gridCol w:w="487"/>
        <w:gridCol w:w="126"/>
        <w:gridCol w:w="109"/>
        <w:gridCol w:w="109"/>
        <w:gridCol w:w="109"/>
        <w:gridCol w:w="289"/>
        <w:gridCol w:w="600"/>
        <w:gridCol w:w="162"/>
        <w:gridCol w:w="109"/>
        <w:gridCol w:w="109"/>
        <w:gridCol w:w="109"/>
        <w:gridCol w:w="196"/>
        <w:gridCol w:w="55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0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455"/>
        <w:gridCol w:w="1236"/>
        <w:gridCol w:w="124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89"/>
        <w:gridCol w:w="600"/>
        <w:gridCol w:w="162"/>
        <w:gridCol w:w="109"/>
        <w:gridCol w:w="109"/>
        <w:gridCol w:w="109"/>
        <w:gridCol w:w="196"/>
        <w:gridCol w:w="646"/>
        <w:gridCol w:w="156"/>
      </w:tblGrid>
      <w:tr>
        <w:trPr/>
        <w:tc>
          <w:tcPr>
            <w:tcW w:w="14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14,572 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oil and gas production revenue that will be paid as taxes by EGPC on behalf of the Company for the quarters and six months ended June 30, 2024 and 2023 of:</w:t>
      </w:r>
    </w:p>
    <w:tbl>
      <w:tblPr>
        <w:tblW w:w="6691" w:type="dxa"/>
        <w:jc w:val="left"/>
        <w:tblInd w:w="0" w:type="dxa"/>
        <w:tblLayout w:type="fixed"/>
        <w:tblCellMar>
          <w:top w:w="28" w:type="dxa"/>
          <w:left w:w="28" w:type="dxa"/>
          <w:bottom w:w="28" w:type="dxa"/>
          <w:right w:w="28" w:type="dxa"/>
        </w:tblCellMar>
      </w:tblPr>
      <w:tblGrid>
        <w:gridCol w:w="325"/>
        <w:gridCol w:w="287"/>
        <w:gridCol w:w="288"/>
        <w:gridCol w:w="109"/>
        <w:gridCol w:w="109"/>
        <w:gridCol w:w="109"/>
        <w:gridCol w:w="269"/>
        <w:gridCol w:w="578"/>
        <w:gridCol w:w="149"/>
        <w:gridCol w:w="149"/>
        <w:gridCol w:w="149"/>
        <w:gridCol w:w="149"/>
        <w:gridCol w:w="269"/>
        <w:gridCol w:w="578"/>
        <w:gridCol w:w="149"/>
        <w:gridCol w:w="109"/>
        <w:gridCol w:w="109"/>
        <w:gridCol w:w="109"/>
        <w:gridCol w:w="290"/>
        <w:gridCol w:w="623"/>
        <w:gridCol w:w="161"/>
        <w:gridCol w:w="161"/>
        <w:gridCol w:w="161"/>
        <w:gridCol w:w="161"/>
        <w:gridCol w:w="290"/>
        <w:gridCol w:w="623"/>
        <w:gridCol w:w="228"/>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(2)Operating income includes no leasehold impairments for the second quarter of 2024. </w:t>
        <w:br/>
        <w:t>Operating income of U.S. and North Sea includes leasehold impairments of $3 million and $3 million, respectively, for the second quarter of 2023. Operating income of U.S. includes leasehold impairments of $10 million for the first six months of 2024. Operating income of U.S. and North Sea includes leasehold impairments of $5 million and $6 million, respectively, for the first six months of 2023.</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(3)Intercompany balances are excluded from total assets.</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noncontrolling interests of Sinopec and APA.</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rFonts w:ascii="Times New Roman;sans-serif" w:hAnsi="Times New Roman;sans-serif"/>
          <w:b w:val="false"/>
          <w:color w:val="000000"/>
          <w:sz w:val="20"/>
        </w:rPr>
        <w:t>.    </w:t>
      </w:r>
      <w:r>
        <w:rPr>
          <w:rFonts w:ascii="Times New Roman;sans-serif" w:hAnsi="Times New Roman;sans-serif"/>
          <w:b/>
          <w:color w:val="000000"/>
          <w:sz w:val="20"/>
        </w:rPr>
        <w:t>MANAGEMENT’S NARRATIVE ANALYSIS OF RESULTS OF OPERATIONS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The following discussion relates to Apache Corporation (Apache or the Company) and its consolidated subsidiaries and should be read together with the Company’s Consolidated Financial Statements and accompanying notes included in Part I, </w:t>
      </w:r>
      <w:hyperlink w:anchor="i1eb8f2bab0c34508a9b67244bfedf258_19">
        <w:r>
          <w:rPr>
            <w:rStyle w:val="InternetLink"/>
            <w:rFonts w:ascii="Times New Roman;sans-serif" w:hAnsi="Times New Roman;sans-serif"/>
            <w:b w:val="false"/>
            <w:color w:val="0000FF"/>
            <w:sz w:val="20"/>
            <w:u w:val="single"/>
          </w:rPr>
          <w:t>Item 1—Financial Statements</w:t>
        </w:r>
      </w:hyperlink>
      <w:r>
        <w:rPr>
          <w:color w:val="000000"/>
        </w:rPr>
        <w:t xml:space="preserve"> </w:t>
      </w:r>
      <w:r>
        <w:rPr>
          <w:rFonts w:ascii="Times New Roman;sans-serif" w:hAnsi="Times New Roman;sans-serif"/>
          <w:b w:val="false"/>
          <w:color w:val="000000"/>
          <w:sz w:val="20"/>
        </w:rPr>
        <w:t>of this Quarterly Report on Form 10-Q, as well as related information set forth in the Company’s Consolidated Financial Statements, accompanying Notes to Consolidated Financial Statements, and Management’s Narrative Analysis of Results of Operations included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Apache, a direct, wholly owned subsidiary of APA Corporation (APA), is an independent energy company that explores for, develops, and produces natural gas, crude oil, and natural gas liquids (NGLs). The Company’s upstream business has oil and gas operations in three geographic areas: the U.S., Egypt, and offshore the U.K. in the North Sea (North Sea).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believes energy underpins global progress, and the Company wants to be a part of the solution as society works to meet growing global demand for reliable and affordable energy. Apache strives to meet those challenges while creating value for all its stakeholders.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Uncertainties in the global supply chain and financial markets, including the impact of ongoing international conflicts, inflation, and actions taken by foreign oil and gas producing nations, including OPEC+, impact oil supply and demand and contribute to commodity price volatility. Despite these uncertainties, the Company remains committed to its longer-term objectives: (1) to invest for long-term returns in pursuit of moderate, sustainable production growth; (2) to strengthen the balance sheet to underpin the generation of cash flow in excess of its upstream exploration, appraisal, and development capital program that can be directed to debt reduction and return of capital to APA; and (3) to responsibly manage its cost structure regardless of the oil price environment. The Company closely monitors hydrocarbon pricing fundamentals to reallocate capital as part of its ongoing planning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and Operational Highlights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reported net income of $464 million compared to net income of $290 million in the second quarter of 2023. The increase in net income in the second quarter of 2024 compared to the same prior year period was primarily driven by $276 million of net gains on divestitures of non-core assets, higher revenues as a result of increased drilling activity in the Permian Basin, and higher realized oil and NGL prices during the period. Net income also benefited from widening margins under third-party gas agreements as a result of lower natural gas prices. These benefits to net income were partially offset by higher depreciation expense driven by an increase in the Company’s depreciation, depletion, and amortization rate from the second quarter of 2023 on its oil and gas properties, and higher deferred income tax expense compared to the same prior 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six months of 2024, the Company reported net income of $600 million compared to net income of $427 million in the first six months of 2023. The increase in net income in the first six months of 2024 compared to the first six months of 2023 was primarily driven by $283 million of net gains on divestitures of non-core assets and widening margins under third-party gas agreements resulting from lower natural gas prices. These benefits to net income were partially offset by higher depreciation expense driven by increases in the Company’s depreciation, depletion, and amortization rate from the first six months of 2023 on its oil and gas properties and an increase in losses on previously sold Gulf of Mexico properties related to property decommissioning, compared to the same prior 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$1.1 billion of cash from operating activities during the first six months of 2024, 19 percent lower than the first six months of 2023. The Company’s lower operating cash flows for the first six months of 2024 were primarily driven by timing of working capital items.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Key operational highlights include:</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Daily boe production from the Company’s U.S. assets accounted for 52 percent of its total production during the second quarter of 2024 and decreased 7 percent from the second quarter of 2023. Daily oil production from the Company’s U.S. assets increased 8 percent from the second quarter of 2023. During the second quarter of 2024, the Company averaged seven drilling rigs in the Permian Basin, including six rigs in the Southern Midland Basin and one rig in the Delaware Basin, and drilled and brought online 30 operated wells during the quarter. The Company’s core Permian Basin development program continues to represent key growth areas for the U.S.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Egypt, the Company continued its drilling and workover activity with a focus on oil production. The Company averaged 15 drilling rigs and drilled 14 new productive wells during the second quarter of 2024. During the same period, the Company averaged 20 workover rigs as it continues to align its drilling and workover activity with a goal of driving improved capital efficiency. Second quarter 2024 gross production from the Company’s Egypt assets decreased 7 percent from the second quarter of 2023, and net production decreased 8 percent, while daily oil production remained essentially flat.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suspended all new drilling activity in the North Sea during the second quarter of 2023. The Company’s investment program in the North Sea is now directed toward safety, base production management, and asset maintenance and integrity.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Oil, Natural Gas, and Natural Gas Liquids Production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production revenues and respective contribution to total revenues by country were as follows: </w:t>
      </w:r>
    </w:p>
    <w:tbl>
      <w:tblPr>
        <w:tblW w:w="1112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30"/>
        <w:gridCol w:w="230"/>
        <w:gridCol w:w="63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Six 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revenues attributable to noncontrolling interests in Egypt.</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production volumes by country were as follows:</w:t>
      </w:r>
    </w:p>
    <w:tbl>
      <w:tblPr>
        <w:tblW w:w="9869"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368"/>
        <w:gridCol w:w="368"/>
        <w:gridCol w:w="156"/>
        <w:gridCol w:w="125"/>
        <w:gridCol w:w="125"/>
        <w:gridCol w:w="125"/>
        <w:gridCol w:w="299"/>
        <w:gridCol w:w="299"/>
        <w:gridCol w:w="301"/>
        <w:gridCol w:w="125"/>
        <w:gridCol w:w="125"/>
        <w:gridCol w:w="125"/>
        <w:gridCol w:w="368"/>
        <w:gridCol w:w="368"/>
        <w:gridCol w:w="156"/>
        <w:gridCol w:w="109"/>
        <w:gridCol w:w="109"/>
        <w:gridCol w:w="109"/>
        <w:gridCol w:w="368"/>
        <w:gridCol w:w="368"/>
        <w:gridCol w:w="156"/>
        <w:gridCol w:w="142"/>
        <w:gridCol w:w="142"/>
        <w:gridCol w:w="142"/>
        <w:gridCol w:w="299"/>
        <w:gridCol w:w="299"/>
        <w:gridCol w:w="301"/>
        <w:gridCol w:w="142"/>
        <w:gridCol w:w="142"/>
        <w:gridCol w:w="142"/>
        <w:gridCol w:w="368"/>
        <w:gridCol w:w="368"/>
        <w:gridCol w:w="213"/>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189,955 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192,925 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189,078 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191,575 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Volume (Mcf/d)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668,172 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796,932 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700,984 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802,811 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55,184 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BOE per day</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191,172 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North Sea</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352,838 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383,592 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356,581 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380,561 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Gross oil, natural gas, and NGL production in Egypt were as follows:</w:t>
      </w:r>
    </w:p>
    <w:tbl>
      <w:tblPr>
        <w:tblW w:w="8902"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68"/>
        <w:gridCol w:w="368"/>
        <w:gridCol w:w="163"/>
        <w:gridCol w:w="163"/>
        <w:gridCol w:w="163"/>
        <w:gridCol w:w="163"/>
        <w:gridCol w:w="163"/>
        <w:gridCol w:w="163"/>
        <w:gridCol w:w="163"/>
        <w:gridCol w:w="163"/>
        <w:gridCol w:w="163"/>
        <w:gridCol w:w="163"/>
        <w:gridCol w:w="368"/>
        <w:gridCol w:w="368"/>
        <w:gridCol w:w="163"/>
        <w:gridCol w:w="109"/>
        <w:gridCol w:w="109"/>
        <w:gridCol w:w="109"/>
        <w:gridCol w:w="368"/>
        <w:gridCol w:w="368"/>
        <w:gridCol w:w="175"/>
        <w:gridCol w:w="175"/>
        <w:gridCol w:w="175"/>
        <w:gridCol w:w="175"/>
        <w:gridCol w:w="175"/>
        <w:gridCol w:w="175"/>
        <w:gridCol w:w="175"/>
        <w:gridCol w:w="175"/>
        <w:gridCol w:w="175"/>
        <w:gridCol w:w="175"/>
        <w:gridCol w:w="368"/>
        <w:gridCol w:w="368"/>
        <w:gridCol w:w="247"/>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139,490 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140,652 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138,731 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140,708 </w:t>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531,093 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net production volumes per day attributable to noncontrolling interests in Egypt of:</w:t>
      </w:r>
    </w:p>
    <w:tbl>
      <w:tblPr>
        <w:tblW w:w="8902"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68"/>
        <w:gridCol w:w="368"/>
        <w:gridCol w:w="163"/>
        <w:gridCol w:w="163"/>
        <w:gridCol w:w="163"/>
        <w:gridCol w:w="163"/>
        <w:gridCol w:w="163"/>
        <w:gridCol w:w="163"/>
        <w:gridCol w:w="163"/>
        <w:gridCol w:w="163"/>
        <w:gridCol w:w="163"/>
        <w:gridCol w:w="163"/>
        <w:gridCol w:w="368"/>
        <w:gridCol w:w="368"/>
        <w:gridCol w:w="163"/>
        <w:gridCol w:w="109"/>
        <w:gridCol w:w="109"/>
        <w:gridCol w:w="109"/>
        <w:gridCol w:w="368"/>
        <w:gridCol w:w="368"/>
        <w:gridCol w:w="175"/>
        <w:gridCol w:w="175"/>
        <w:gridCol w:w="175"/>
        <w:gridCol w:w="175"/>
        <w:gridCol w:w="175"/>
        <w:gridCol w:w="175"/>
        <w:gridCol w:w="175"/>
        <w:gridCol w:w="175"/>
        <w:gridCol w:w="175"/>
        <w:gridCol w:w="175"/>
        <w:gridCol w:w="368"/>
        <w:gridCol w:w="368"/>
        <w:gridCol w:w="247"/>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66,675 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58,561 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66,319 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58,560 </w:t>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The table shows production on a boe basis in which natural gas is converted to an equivalent barrel of oil based on a 6:1 energy equivalent ratio. This ratio is not reflective of the price ratio between the two products.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Average sales volumes from the North Sea for the second quarters of 2024 and 2023 were 37,491 boe/d and 40,099 boe/d, respectively, and 36,285 boe/d and 43,347 boe/d for the first six months of 2024 and 2023, respectively. Sales volumes may vary from production volumes as a result of the timing of liftings.</w:t>
      </w:r>
    </w:p>
    <w:p>
      <w:pPr>
        <w:pStyle w:val="TextBody"/>
        <w:bidi w:val="0"/>
        <w:spacing w:before="60" w:after="283"/>
        <w:ind w:left="0" w:right="0" w:hanging="270"/>
        <w:jc w:val="both"/>
        <w:rPr/>
      </w:pPr>
      <w:r>
        <w:rPr/>
      </w:r>
    </w:p>
    <w:p>
      <w:pPr>
        <w:pStyle w:val="TextBody"/>
        <w:bidi w:val="0"/>
        <w:spacing w:before="20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average selling prices by country were as follows:</w:t>
      </w:r>
    </w:p>
    <w:tbl>
      <w:tblPr>
        <w:tblW w:w="10038" w:type="dxa"/>
        <w:jc w:val="left"/>
        <w:tblInd w:w="0" w:type="dxa"/>
        <w:tblLayout w:type="fixed"/>
        <w:tblCellMar>
          <w:top w:w="28" w:type="dxa"/>
          <w:left w:w="28" w:type="dxa"/>
          <w:bottom w:w="28" w:type="dxa"/>
          <w:right w:w="28" w:type="dxa"/>
        </w:tblCellMar>
      </w:tblPr>
      <w:tblGrid>
        <w:gridCol w:w="1010"/>
        <w:gridCol w:w="885"/>
        <w:gridCol w:w="894"/>
        <w:gridCol w:w="109"/>
        <w:gridCol w:w="109"/>
        <w:gridCol w:w="109"/>
        <w:gridCol w:w="196"/>
        <w:gridCol w:w="556"/>
        <w:gridCol w:w="109"/>
        <w:gridCol w:w="109"/>
        <w:gridCol w:w="109"/>
        <w:gridCol w:w="109"/>
        <w:gridCol w:w="299"/>
        <w:gridCol w:w="299"/>
        <w:gridCol w:w="301"/>
        <w:gridCol w:w="109"/>
        <w:gridCol w:w="109"/>
        <w:gridCol w:w="109"/>
        <w:gridCol w:w="196"/>
        <w:gridCol w:w="556"/>
        <w:gridCol w:w="109"/>
        <w:gridCol w:w="109"/>
        <w:gridCol w:w="109"/>
        <w:gridCol w:w="109"/>
        <w:gridCol w:w="196"/>
        <w:gridCol w:w="556"/>
        <w:gridCol w:w="109"/>
        <w:gridCol w:w="109"/>
        <w:gridCol w:w="109"/>
        <w:gridCol w:w="109"/>
        <w:gridCol w:w="299"/>
        <w:gridCol w:w="299"/>
        <w:gridCol w:w="301"/>
        <w:gridCol w:w="109"/>
        <w:gridCol w:w="109"/>
        <w:gridCol w:w="109"/>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Oil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Natural Gas Price –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NGL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Second-Quarter 2024 compared to Second-Quarter 2023</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Crude Oil </w:t>
      </w:r>
      <w:r>
        <w:rPr>
          <w:rFonts w:ascii="Times New Roman;sans-serif" w:hAnsi="Times New Roman;sans-serif"/>
          <w:b w:val="false"/>
          <w:color w:val="000000"/>
          <w:sz w:val="20"/>
        </w:rPr>
        <w:t>Crude oil revenues for the second quarter of 2024 totaled $1.4 billion, a $110 million increase from the comparative 2023 quarter. An 8 percent increase in average realized prices primarily drove the increase in oil revenues compared to the second quarter of 2023. Crude oil revenues accounted for 86 percent of total oil and gas production revenues and 54 percent of worldwide production in the second quarter of 2024. Crude oil prices realized in the second quarter of 2024 averaged $82.62 per barrel, compared with $76.48 per barrel in the comparative prior-year quarter.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decreased 3 Mb/d to 190 Mb/d during the second quarter of 2024 from the comparative prior-year period, primarily a result of natural production decline across all assets, partially offset by increased drilling activity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second quarter of 2024 totaled $127 million, a $48 million decrease from the comparative 2023 quarter. A 14 percent decrease in average realized prices decreased second-quarter 2024 natural gas revenues by $23 million compared to the second quarter of 2023, while 16 percent lower average daily production decreased revenues by $25 million. Natural gas revenues accounted for 8 percent of total oil and gas production revenues and 32 percent of worldwide production during the second quarter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natural gas production decreased 128.8 MMcf/d to 668.2 MMcf/d during the second quarter of 2024 from the comparative prior-year period, primarily a result of natural production decline across all assets, reduced gas-focused activity in Egypt, curtailment of volumes at Alpine High in response to extreme Waha basis differentials, and the sale of non-core assets in the U.S. These decreases were partially offset by increased drilling activity and recompletions in the Permian Basin and less maintenance downtime in the North Sea.</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NGL </w:t>
      </w:r>
      <w:r>
        <w:rPr>
          <w:rFonts w:ascii="Times New Roman;sans-serif" w:hAnsi="Times New Roman;sans-serif"/>
          <w:b w:val="false"/>
          <w:color w:val="000000"/>
          <w:sz w:val="20"/>
        </w:rPr>
        <w:t xml:space="preserve">NGL revenues for the second quarter of 2024 totaled $100 million, a $1 million increase from the comparative 2023 quarter. A 14 percent increase in average realized prices increased second-quarter 2024 NGL revenues by $14 million compared to the second quarter of 2023, while an 11 percent lower average daily production decreased revenues by $13 million. NGL revenues accounted for 6 percent of total oil and gas production revenues and 14 percent of worldwide production during the second quarter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decreased 6.3 Mb/d to 51.5 Mb/d during the second quarter of 2024 from the comparative prior-year period, primarily a result of natural production decline across U.S.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Year-to-Date 2024 compared to Year-to-Date 2023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Crude Oil</w:t>
      </w:r>
      <w:r>
        <w:rPr>
          <w:color w:val="000000"/>
        </w:rPr>
        <w:t xml:space="preserve"> </w:t>
      </w:r>
      <w:r>
        <w:rPr>
          <w:rFonts w:ascii="Times New Roman;sans-serif" w:hAnsi="Times New Roman;sans-serif"/>
          <w:b w:val="false"/>
          <w:color w:val="000000"/>
          <w:sz w:val="20"/>
        </w:rPr>
        <w:t xml:space="preserve">Crude oil revenues for the first six months of 2024 totaled $2.8 billion, a $109 million increase from the comparative 2023 period. A 6 percent increase in average realized prices increased oil revenues by $148 million compared to the prior-year period, while a 1 percent lower average daily production decreased oil revenues for the 2024 period by $39 million compared to the prior-year period. Crude oil revenues accounted for 84 percent of total oil and gas production revenues and 53 percent of worldwide production for the first six months of 2024. Crude oil prices realized during the first six months of 2024 averaged $81.77 per barrel, compared to $77.47 per barrel in the comparative prior-year period.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decreased 2.5 Mb/d to 189.1 Mb/d in the first six months of 2024 compared to the prior-year period, primarily a result of natural production decline across all assets, partially offset by increased drilling activity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first six months of 2024 totaled $297 million, a $116 million decrease from the comparative 2023 period. An 18 percent decrease in average realized prices decreased natural gas revenues for the 2024 period by $74 million compared to the prior-year period, while 13 percent lower average daily production decreased revenues by $42 million compared to the prior-year period. Natural gas revenues accounted for 9 percent of total oil and gas production revenues and 33 percent of worldwide production for the first six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natural gas production decreased 101.8 MMcf/d to 701 MMcf/d in the first six months of 2024 compared to the prior-year period, primarily a result of natural production decline across all assets, reduced gas-focused activity in Egypt, curtailment of volumes at Alpine High in response to extreme Waha basis differentials, and the sale of non-core assets in the U.S. These decreases were partially offset by increased drilling activity and recompletions in the Permian Basin and less maintenance downtime in the North Sea.</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NGL</w:t>
      </w:r>
      <w:r>
        <w:rPr>
          <w:color w:val="000000"/>
        </w:rPr>
        <w:t xml:space="preserve"> </w:t>
      </w:r>
      <w:r>
        <w:rPr>
          <w:rFonts w:ascii="Times New Roman;sans-serif" w:hAnsi="Times New Roman;sans-serif"/>
          <w:b w:val="false"/>
          <w:color w:val="000000"/>
          <w:sz w:val="20"/>
        </w:rPr>
        <w:t xml:space="preserve">NGL revenues for the first six months of 2024 remained flat when compared to the first six months of 2023. An 8 percent lower average daily production decreased NGL revenues for the 2024 period by $18 million compared to the prior-year period, while a 9 percent increase in average realized prices increased revenues by $18 million compared to the prior-year period. NGL revenues accounted for 7 percent of total oil and gas production revenues and 14 percent of worldwide production for the first six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decreased 4.5 Mb/d to 50.7 Mb/d in the first six months of 2024 compared to the prior-year period, primarily a result of natural production decline across U.S. assets, partially offset by increased drilling activity and recompletions in the Permian Basin.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Purchased Oil and Gas Sales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sales represent volumes primarily attributable to U.S. domestic oil and gas purchases that were sold by the Company to fulfill oil and natural gas takeaway obligations and delivery commitments. Sales related to these purchased volumes totaled $230 million and $144 million during the second quarters of 2024 and 2023, respectively, and $433 million and $383 million during the first six months of 2024 and 2023, respectively. Purchased oil and gas sales were offset by associated purchase costs of $95 million and $131 million during the second quarters of 2024 and 2023, respectively, and $258 million and $347 million during the first six months of 2024 and 2023, respectively. Gross purchased oil and gas sales values were higher in the second quarter and the first six months of 2024 primarily driven by third-party purchase commitments as compared to the second quarter and the first six months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were as follows and include costs attributable to noncontrolling interests in Egypt:</w:t>
      </w:r>
    </w:p>
    <w:tbl>
      <w:tblPr>
        <w:tblW w:w="8326" w:type="dxa"/>
        <w:jc w:val="left"/>
        <w:tblInd w:w="0" w:type="dxa"/>
        <w:tblLayout w:type="fixed"/>
        <w:tblCellMar>
          <w:top w:w="28" w:type="dxa"/>
          <w:left w:w="28" w:type="dxa"/>
          <w:bottom w:w="28" w:type="dxa"/>
          <w:right w:w="28" w:type="dxa"/>
        </w:tblCellMar>
      </w:tblPr>
      <w:tblGrid>
        <w:gridCol w:w="1246"/>
        <w:gridCol w:w="1089"/>
        <w:gridCol w:w="1099"/>
        <w:gridCol w:w="109"/>
        <w:gridCol w:w="109"/>
        <w:gridCol w:w="109"/>
        <w:gridCol w:w="196"/>
        <w:gridCol w:w="556"/>
        <w:gridCol w:w="109"/>
        <w:gridCol w:w="109"/>
        <w:gridCol w:w="109"/>
        <w:gridCol w:w="109"/>
        <w:gridCol w:w="196"/>
        <w:gridCol w:w="556"/>
        <w:gridCol w:w="109"/>
        <w:gridCol w:w="109"/>
        <w:gridCol w:w="109"/>
        <w:gridCol w:w="109"/>
        <w:gridCol w:w="205"/>
        <w:gridCol w:w="581"/>
        <w:gridCol w:w="114"/>
        <w:gridCol w:w="114"/>
        <w:gridCol w:w="114"/>
        <w:gridCol w:w="114"/>
        <w:gridCol w:w="205"/>
        <w:gridCol w:w="581"/>
        <w:gridCol w:w="161"/>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Operating Expenses (LOE)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LOE increased $17 million and $29 million compared to the second quarter and the first six months of 2023, respectively. On a per-unit basis, LOE increased 13 percent and 11 percent in the second quarter and the first six months of 2024, respectively, from the comparative prior-year periods. During the second quarter and first six months of 2024, higher operating and labor costs as well as higher workover activity drove the increase in absolute LOE costs compared to the same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Gathering, Processing, and Transmission (GPT)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GPT expenses were as follows:</w:t>
      </w:r>
    </w:p>
    <w:tbl>
      <w:tblPr>
        <w:tblW w:w="8096" w:type="dxa"/>
        <w:jc w:val="left"/>
        <w:tblInd w:w="0" w:type="dxa"/>
        <w:tblLayout w:type="fixed"/>
        <w:tblCellMar>
          <w:top w:w="28" w:type="dxa"/>
          <w:left w:w="28" w:type="dxa"/>
          <w:bottom w:w="28" w:type="dxa"/>
          <w:right w:w="28" w:type="dxa"/>
        </w:tblCellMar>
      </w:tblPr>
      <w:tblGrid>
        <w:gridCol w:w="1228"/>
        <w:gridCol w:w="1079"/>
        <w:gridCol w:w="1082"/>
        <w:gridCol w:w="109"/>
        <w:gridCol w:w="109"/>
        <w:gridCol w:w="109"/>
        <w:gridCol w:w="229"/>
        <w:gridCol w:w="388"/>
        <w:gridCol w:w="127"/>
        <w:gridCol w:w="127"/>
        <w:gridCol w:w="127"/>
        <w:gridCol w:w="127"/>
        <w:gridCol w:w="229"/>
        <w:gridCol w:w="388"/>
        <w:gridCol w:w="127"/>
        <w:gridCol w:w="109"/>
        <w:gridCol w:w="109"/>
        <w:gridCol w:w="109"/>
        <w:gridCol w:w="235"/>
        <w:gridCol w:w="505"/>
        <w:gridCol w:w="130"/>
        <w:gridCol w:w="130"/>
        <w:gridCol w:w="130"/>
        <w:gridCol w:w="130"/>
        <w:gridCol w:w="235"/>
        <w:gridCol w:w="505"/>
        <w:gridCol w:w="18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Midstream service costs – Kinetik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gathering, processing, and 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GPT costs increased $8 million and $11 million in the second quarter and the first six months of 2024, respectively, when compared to the second quarter and the first six months of 2023, primarily driven by an increase in natural gas production volumes in the North Sea.</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Purchased Oil and Gas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costs decreased $36 million and $89 million in the second quarter and the first six months of 2024, respectively, when compared to the second quarter and the first six months of 2023. The decrease is primarily driven by lower average natural gas prices in the second quarter and the first six months of 2024 compared to the second quarter and first six months of 2023. With widening margins under third-party gas agreements, purchased oil and gas costs were more than offset by associated sales to fulfill natural gas takeaway obligations and delivery commitments totaling $230 million and $433 million in the second quarter and the first six months of 2024, respectively,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Exploration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exploration expenses were as follows:</w:t>
      </w:r>
    </w:p>
    <w:tbl>
      <w:tblPr>
        <w:tblW w:w="7399"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19"/>
        <w:gridCol w:w="454"/>
        <w:gridCol w:w="122"/>
        <w:gridCol w:w="122"/>
        <w:gridCol w:w="122"/>
        <w:gridCol w:w="122"/>
        <w:gridCol w:w="219"/>
        <w:gridCol w:w="370"/>
        <w:gridCol w:w="122"/>
        <w:gridCol w:w="109"/>
        <w:gridCol w:w="109"/>
        <w:gridCol w:w="109"/>
        <w:gridCol w:w="261"/>
        <w:gridCol w:w="441"/>
        <w:gridCol w:w="145"/>
        <w:gridCol w:w="145"/>
        <w:gridCol w:w="145"/>
        <w:gridCol w:w="145"/>
        <w:gridCol w:w="261"/>
        <w:gridCol w:w="441"/>
        <w:gridCol w:w="20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Dry hole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Geological and geophysical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 overhead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Exploration expenses decreased $9 million and $11 million from the second quarter and the first six months of 2023, respectively, driven by lower dry hole expenses and unproved leasehold impairments compared to the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(G&amp;A)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G&amp;A expenses increased $2 million and $27 million compared to the second quarter and the first six months of 2023, respectively. The increase in G&amp;A expenses for the second quarter of 2024 compared to the second quarter of 2023 was primarily driven by higher overall labor costs across the Company. The increase in G&amp;A expenses for the first six months of 2024 compared to the first six months of 2023 was primarily driven by higher overall labor costs across the Company and higher cash-based stock compensation expense resulting from changes in APA’s stock price.</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Reorganization, and Separation (TRS)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TRS costs increased $3 million and $8 million from the second quarter and the first six months of 2023, respectively. Higher TRS costs during the second quarter and the first six months of 2024 were primarily a result of higher separation costs in the North Sea compared to the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Depletion, and Amortization (DD&amp;A)</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DD&amp;A expenses increased $55 million and $120 million from the second quarter and the first six months of 2023, respectively, primarily driven by DD&amp;A on the Company’s oil and gas properties. The Company’s DD&amp;A rate on its oil and gas properties increased $2.70 per boe and $2.52 per boe from the second quarter and the first six months of 2023, respectively. The increase in DD&amp;A on an absolute and per boe basis were driven by negative price-related reserve revisions in prior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recorded $46 million of impairments in connection with valuations of drilling and operations equipment inventory upon the Company’s decision to suspend drilling operations in the North Sea. There were no impairments recorded during the three and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Financing costs were as follows:</w:t>
      </w:r>
    </w:p>
    <w:tbl>
      <w:tblPr>
        <w:tblW w:w="7916" w:type="dxa"/>
        <w:jc w:val="left"/>
        <w:tblInd w:w="0" w:type="dxa"/>
        <w:tblLayout w:type="fixed"/>
        <w:tblCellMar>
          <w:top w:w="28" w:type="dxa"/>
          <w:left w:w="28" w:type="dxa"/>
          <w:bottom w:w="28" w:type="dxa"/>
          <w:right w:w="28" w:type="dxa"/>
        </w:tblCellMar>
      </w:tblPr>
      <w:tblGrid>
        <w:gridCol w:w="1161"/>
        <w:gridCol w:w="1022"/>
        <w:gridCol w:w="1026"/>
        <w:gridCol w:w="109"/>
        <w:gridCol w:w="109"/>
        <w:gridCol w:w="109"/>
        <w:gridCol w:w="229"/>
        <w:gridCol w:w="388"/>
        <w:gridCol w:w="127"/>
        <w:gridCol w:w="127"/>
        <w:gridCol w:w="127"/>
        <w:gridCol w:w="127"/>
        <w:gridCol w:w="229"/>
        <w:gridCol w:w="388"/>
        <w:gridCol w:w="127"/>
        <w:gridCol w:w="109"/>
        <w:gridCol w:w="109"/>
        <w:gridCol w:w="109"/>
        <w:gridCol w:w="235"/>
        <w:gridCol w:w="505"/>
        <w:gridCol w:w="130"/>
        <w:gridCol w:w="130"/>
        <w:gridCol w:w="130"/>
        <w:gridCol w:w="130"/>
        <w:gridCol w:w="235"/>
        <w:gridCol w:w="505"/>
        <w:gridCol w:w="18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from APA Corporation,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financing costs decreased $16 million and $32 million from the second quarter and the first six months of 2023, respectively. The decrease in costs during the second quarter and the first six months of 2024 was primarily a result of higher intercompany interest income from APA Corporation and lower interest expense from lower average long-term debt balances compared to the same prior-year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six months ended June 30, 2024 differed from the U.S. federal statutory income tax rate of 21 percent due to taxes on foreign operations. During the second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six months ended June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2023. Some of the more significant estimates include reserve estimates, oil and gas exploration costs, offshore decommissioning contingency, long-lived asset impairments, asset retirement obligations, and income taxes.</w:t>
      </w:r>
    </w:p>
    <w:p>
      <w:pPr>
        <w:pStyle w:val="TextBody"/>
        <w:bidi w:val="0"/>
        <w:spacing w:before="20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Accounting Pronouncements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recently issued or adopted accounting standards from those disclosed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Disclosure Controls and Procedures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June 30, 2024,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our management, including our principal executive officer and principal financial officer, to allow timely decisions regarding required disclosure.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Changes in Internal Control Over Financial Reporting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that occurred during the quarter ended June 30, 2024 that have materially affected, or are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Part I, Item 3—Legal Proceedings of the Company’s Annual Report on Form 10-K for the fiscal year ended December 31, 2023 and </w:t>
      </w:r>
      <w:hyperlink w:anchor="i1eb8f2bab0c34508a9b67244bfedf258_85">
        <w:r>
          <w:rPr>
            <w:rStyle w:val="InternetLink"/>
            <w:rFonts w:ascii="Times New Roman;sans-serif" w:hAnsi="Times New Roman;sans-serif"/>
            <w:b w:val="false"/>
            <w:color w:val="0000FF"/>
            <w:sz w:val="20"/>
            <w:u w:val="single"/>
          </w:rPr>
          <w:t>Note 11—Commitments and Contingencies</w:t>
        </w:r>
      </w:hyperlink>
      <w:r>
        <w:rPr>
          <w:color w:val="000000"/>
        </w:rPr>
        <w:t xml:space="preserve"> </w:t>
      </w:r>
      <w:r>
        <w:rPr>
          <w:rFonts w:ascii="Times New Roman;sans-serif" w:hAnsi="Times New Roman;sans-serif"/>
          <w:b w:val="false"/>
          <w:color w:val="000000"/>
          <w:sz w:val="20"/>
        </w:rPr>
        <w:t>in the Notes to the Consolidated Financial Statements set forth in Part I, Item 1 of this Quarterly Report on Form 10-Q (which is hereby incorporated by reference herein), for a description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1A—Risk Factors of the Company’s Annual Report on Form 10-K for the fiscal year ended December 31, 2023.</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its business, APA Corporation may be subject to different or additional risks than those applicable to the Company. For a description of these risks, refer to the disclosures in APA Corporation’s Quarterly Reports on Form 10-Q for the quarterly periods ended March 31, 2024 and June 30, 2024 and APA Corporation’s Annual Report on Form 10-K for the fiscal year ended December 31, 2023.</w:t>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167"/>
        <w:gridCol w:w="2167"/>
        <w:gridCol w:w="2171"/>
        <w:gridCol w:w="195"/>
        <w:gridCol w:w="195"/>
        <w:gridCol w:w="196"/>
        <w:gridCol w:w="245"/>
        <w:gridCol w:w="245"/>
        <w:gridCol w:w="246"/>
        <w:gridCol w:w="222"/>
        <w:gridCol w:w="222"/>
        <w:gridCol w:w="223"/>
        <w:gridCol w:w="345"/>
        <w:gridCol w:w="200"/>
        <w:gridCol w:w="205"/>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 File No.</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Registrant, dated March 1, 2021, as attached as Annex A to the Certificate of Merger of APA Merger Sub, Inc. with and into Registrant, filed with the Secretary of State of the State of Delaware on March 1, 2021.</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of Amended and Restated Certificate of Incorporation of Registrant, dated June 7, 2021, filed with the Secretary of State of the State of Delaware on June 10, 2021.</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6/14/2021</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Bylaws of Registrant, dated March 1, 2021</w:t>
              </w:r>
            </w:hyperlink>
            <w:r>
              <w:rPr>
                <w:rFonts w:ascii="Times New Roman;sans-serif" w:hAnsi="Times New Roman;sans-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2-exhibit311.htm">
              <w:r>
                <w:rPr>
                  <w:rStyle w:val="InternetLink"/>
                  <w:rFonts w:ascii="Times New Roman;sans-serif" w:hAnsi="Times New Roman;sans-serif"/>
                  <w:b w:val="false"/>
                  <w:color w:val="0000FF"/>
                  <w:sz w:val="20"/>
                  <w:u w:val="single"/>
                </w:rPr>
                <w:t>Certification (pursuant to Rule 13a-14(a) or Rule 15d-14(a) of the Exchange Act) by Principal Executive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2-exhibit312.htm">
              <w:r>
                <w:rPr>
                  <w:rStyle w:val="InternetLink"/>
                  <w:rFonts w:ascii="Times New Roman;sans-serif" w:hAnsi="Times New Roman;sans-serif"/>
                  <w:b w:val="false"/>
                  <w:color w:val="0000FF"/>
                  <w:sz w:val="20"/>
                  <w:u w:val="single"/>
                </w:rPr>
                <w:t>Certification (pursuant to Rule 13a-14(a) or Rule 15d-14(a) of the Exchange Act) by Principal Financial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2-exhibit321.htm">
              <w:r>
                <w:rPr>
                  <w:rStyle w:val="InternetLink"/>
                  <w:rFonts w:ascii="Times New Roman;sans-serif" w:hAnsi="Times New Roman;sans-serif"/>
                  <w:b w:val="false"/>
                  <w:color w:val="0000FF"/>
                  <w:sz w:val="20"/>
                  <w:u w:val="single"/>
                </w:rPr>
                <w:t>Section 1350 Certification (pursuant to Sarbanes-Oxley Section 906) by Principal Executive Officer and Principal Financial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Registrant's Quarterly Report on Form 10-Q for the quarter ended June 30, 2024, formatted in Inline XBRL: (i) Statement of Consolidated Operations, (ii) Statement of Consolidated Comprehensive Income, (iii) Statement of Consolidated Cash Flows, (iv) Consolidated Balance Sheet, (v) Statement of Consolidated Changes in Equity (Deficit) and Noncontrolling Interests and (vi) Notes to Consolidated Financial Statements, tagged as blocks of text and including detailed tags.</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46"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555"/>
        <w:gridCol w:w="1555"/>
        <w:gridCol w:w="220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APACHE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Accounting Officer,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7"/>
        <w:gridCol w:w="1856"/>
        <w:gridCol w:w="2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Apache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p>
      <w:pPr>
        <w:pStyle w:val="TextBody"/>
        <w:bidi w:val="0"/>
        <w:spacing w:before="0" w:after="0"/>
        <w:jc w:val="left"/>
        <w:rPr/>
      </w:pPr>
      <w:r>
        <w:rPr/>
      </w:r>
    </w:p>
    <w:tbl>
      <w:tblPr>
        <w:tblW w:w="2757" w:type="dxa"/>
        <w:jc w:val="left"/>
        <w:tblInd w:w="0" w:type="dxa"/>
        <w:tblLayout w:type="fixed"/>
        <w:tblCellMar>
          <w:top w:w="28" w:type="dxa"/>
          <w:left w:w="28" w:type="dxa"/>
          <w:bottom w:w="28" w:type="dxa"/>
          <w:right w:w="28" w:type="dxa"/>
        </w:tblCellMar>
      </w:tblPr>
      <w:tblGrid>
        <w:gridCol w:w="864"/>
        <w:gridCol w:w="758"/>
        <w:gridCol w:w="763"/>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7"/>
        <w:gridCol w:w="1856"/>
        <w:gridCol w:w="2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Apache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p>
      <w:pPr>
        <w:pStyle w:val="TextBody"/>
        <w:bidi w:val="0"/>
        <w:spacing w:before="0" w:after="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APACHE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Principal Financial Officer</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pursuant to 18 U.S.C. Section 1350, as adopted pursuant to Section 906 of the Sarbanes-Oxley Act of 2002, that, to my knowledge, the quarterly report on Form 10-Q of Apache Corporation for the quarterly period ending June 30,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Date: August 1, 2024</w:t>
      </w:r>
    </w:p>
    <w:p>
      <w:pPr>
        <w:pStyle w:val="TextBody"/>
        <w:bidi w:val="0"/>
        <w:spacing w:before="0" w:after="0"/>
        <w:jc w:val="left"/>
        <w:rPr/>
      </w:pPr>
      <w:r>
        <w:rPr/>
      </w:r>
    </w:p>
    <w:tbl>
      <w:tblPr>
        <w:tblW w:w="4172"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775"/>
        <w:gridCol w:w="775"/>
        <w:gridCol w:w="820"/>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pursuant to 18 U.S.C. Section 1350, as adopted pursuant to Section 906 of the Sarbanes-Oxley Act of 2002, that, to my knowledge, the quarterly report on Form 10-Q of Apache Corporation for the quarterly period ending June 30,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p>
      <w:pPr>
        <w:pStyle w:val="TextBody"/>
        <w:bidi w:val="0"/>
        <w:spacing w:before="0" w:after="0"/>
        <w:jc w:val="left"/>
        <w:rPr/>
      </w:pPr>
      <w:r>
        <w:rPr/>
      </w:r>
    </w:p>
    <w:tbl>
      <w:tblPr>
        <w:tblW w:w="4630" w:type="dxa"/>
        <w:jc w:val="left"/>
        <w:tblInd w:w="0" w:type="dxa"/>
        <w:tblLayout w:type="fixed"/>
        <w:tblCellMar>
          <w:top w:w="28" w:type="dxa"/>
          <w:left w:w="28" w:type="dxa"/>
          <w:bottom w:w="28" w:type="dxa"/>
          <w:right w:w="28" w:type="dxa"/>
        </w:tblCellMar>
      </w:tblPr>
      <w:tblGrid>
        <w:gridCol w:w="214"/>
        <w:gridCol w:w="188"/>
        <w:gridCol w:w="188"/>
        <w:gridCol w:w="188"/>
        <w:gridCol w:w="188"/>
        <w:gridCol w:w="188"/>
        <w:gridCol w:w="1033"/>
        <w:gridCol w:w="1033"/>
        <w:gridCol w:w="1038"/>
        <w:gridCol w:w="109"/>
        <w:gridCol w:w="109"/>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769/000119312521063792/d129139dex31.htm" TargetMode="External"/><Relationship Id="rId3" Type="http://schemas.openxmlformats.org/officeDocument/2006/relationships/hyperlink" Target="https://www.sec.gov/Archives/edgar/data/6769/000119312521189654/d165797dex31.htm" TargetMode="External"/><Relationship Id="rId4" Type="http://schemas.openxmlformats.org/officeDocument/2006/relationships/hyperlink" Target="https://www.sec.gov/Archives/edgar/data/0000006769/000119312521063792/d129139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18997</Words>
  <Characters>102226</Characters>
  <CharactersWithSpaces>119966</CharactersWithSpaces>
  <Paragraphs>2852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