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6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60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Maddox Mark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00"/>
        <w:spacing w:after="0" w:line="309" w:lineRule="auto"/>
        <w:rPr>
          <w:sz w:val="20"/>
          <w:szCs w:val="20"/>
          <w:color w:val="auto"/>
        </w:rPr>
      </w:pPr>
      <w:r>
        <w:rPr>
          <w:rFonts w:ascii="Times New Roman" w:cs="Times New Roman" w:eastAsia="Times New Roman" w:hAnsi="Times New Roman"/>
          <w:sz w:val="17"/>
          <w:szCs w:val="17"/>
          <w:color w:val="0000FF"/>
        </w:rPr>
        <w:t>2000 W SAM HOUSTON PARKWAY S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Executive VP - Administration</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41"/>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77042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05/20/2026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9,800</w:t>
            </w:r>
          </w:p>
        </w:tc>
        <w:tc>
          <w:tcPr>
            <w:tcW w:w="680" w:type="dxa"/>
            <w:vAlign w:val="bottom"/>
            <w:tcBorders>
              <w:bottom w:val="single" w:sz="8" w:color="2C2C2C"/>
            </w:tcBorders>
          </w:tcPr>
          <w:p>
            <w:pPr>
              <w:jc w:val="right"/>
              <w:ind w:right="16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40.04</w:t>
            </w:r>
            <w:r>
              <w:rPr>
                <w:rFonts w:ascii="Times New Roman" w:cs="Times New Roman" w:eastAsia="Times New Roman" w:hAnsi="Times New Roman"/>
                <w:sz w:val="21"/>
                <w:szCs w:val="21"/>
                <w:color w:val="008000"/>
                <w:w w:val="99"/>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66,810.471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Non-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40"/>
              <w:spacing w:after="0" w:line="207"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15,500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Qualified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15,500</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39.32</w:t>
            </w:r>
          </w:p>
        </w:tc>
        <w:tc>
          <w:tcPr>
            <w:tcW w:w="8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21,796.074</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jc w:val="right"/>
              <w:ind w:right="161"/>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tcPr>
          <w:p>
            <w:pPr>
              <w:ind w:left="140"/>
              <w:spacing w:after="0" w:line="78" w:lineRule="exact"/>
              <w:rPr>
                <w:sz w:val="20"/>
                <w:szCs w:val="20"/>
                <w:color w:val="auto"/>
              </w:rPr>
            </w:pPr>
            <w:r>
              <w:rPr>
                <w:rFonts w:ascii="Times New Roman" w:cs="Times New Roman" w:eastAsia="Times New Roman" w:hAnsi="Times New Roman"/>
                <w:sz w:val="8"/>
                <w:szCs w:val="8"/>
                <w:color w:val="0000FF"/>
              </w:rPr>
              <w:t>Retirement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Plan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$40.00 to $40.16 per share, inclusive. The Reporting Person undertakes to provide to the staff of the Securities and Exchange Commission, the Issuer, or any security holder of the Issuer, upon request, full information regarding the number of shares sold at each respective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is the economic equivalent of one share of APA common stock and is payable at the participant's election either in APA common stock or cash, in accordance with and subject to the terms of the company's non-qualified retirement plan.</w:t>
      </w:r>
    </w:p>
    <w:p>
      <w:pPr>
        <w:spacing w:after="0" w:line="16"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acquisition reported herein represents a discretionary transaction under Rule 16b-3(f), consisting of a participant-directed transfer of existing account value under the company's non-qualified retirement plan from other deemed investment alternatives into the APA common stock deemed investment alternative.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Kyle W. Funderburk,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Mark D. 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222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237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805" TargetMode="External"/><Relationship Id="rId14" Type="http://schemas.openxmlformats.org/officeDocument/2006/relationships/hyperlink" Target="http://www.sec.gov/cgi-bin/browse-edgar?action=getcompany&amp;CIK=00018416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2026-05-22T11:23:47Z</dcterms:created>
  <dcterms:modified xsi:type="dcterms:W3CDTF">2026-05-22T11:23:47Z</dcterms:modified>
</cp:coreProperties>
</file>