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8478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478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77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APACHE CORP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POST OAK BOULEVARD, SUITE 100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Kinetik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KNTK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4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77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7,475,000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31.5</w:t>
            </w: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13,079,871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gridSpan w:val="2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APACHE CORP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POST OAK BOULEVARD, SUITE 100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Apache Midstream LLC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POST OAK BOULEVARD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2,823,569 shares acquired pursuant to a dividend reinvestment plan.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reported securities are owned directly by Apache Midstream LLC, which is a wholly owned subsidiary of Apache Corporation.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 C. Rodgers,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Authorized Officer of each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-6121400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7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Owner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7664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0006769" TargetMode="External"/><Relationship Id="rId13" Type="http://schemas.openxmlformats.org/officeDocument/2006/relationships/hyperlink" Target="http://www.sec.gov/cgi-bin/browse-edgar?action=getcompany&amp;CIK=0001692787" TargetMode="External"/><Relationship Id="rId14" Type="http://schemas.openxmlformats.org/officeDocument/2006/relationships/hyperlink" Target="http://www.sec.gov/cgi-bin/browse-edgar?action=getcompany&amp;CIK=00017611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2023-12-18T08:29:32Z</dcterms:created>
  <dcterms:modified xsi:type="dcterms:W3CDTF">2023-12-18T08:29:32Z</dcterms:modified>
</cp:coreProperties>
</file>