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-6350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478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478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98" w:orient="portrait"/>
          <w:cols w:equalWidth="0" w:num="2">
            <w:col w:w="2180" w:space="28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APACHE CORP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POST OAK BOULEVARD, SUITE 100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Kinetik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KNTK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4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9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13,079,871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33.75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APACHE CORP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POST OAK BOULEVARD, SUITE 100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Apache Midstream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POST OAK BOULEVARD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-5183505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securities are owned directly by Apache Midstream LLC, which is a wholly owned subsidiary of Apache Corporation.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 C. Rodgers,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Authorized Officer of each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6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Owner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64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8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006769" TargetMode="External"/><Relationship Id="rId13" Type="http://schemas.openxmlformats.org/officeDocument/2006/relationships/hyperlink" Target="http://www.sec.gov/cgi-bin/browse-edgar?action=getcompany&amp;CIK=0001692787" TargetMode="External"/><Relationship Id="rId14" Type="http://schemas.openxmlformats.org/officeDocument/2006/relationships/hyperlink" Target="http://www.sec.gov/cgi-bin/browse-edgar?action=getcompany&amp;CIK=00017611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2024-03-20T09:10:06Z</dcterms:created>
  <dcterms:modified xsi:type="dcterms:W3CDTF">2024-03-20T09:10:06Z</dcterms:modified>
</cp:coreProperties>
</file>