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APACHE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41-0747868</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2000 Post Oak Boulevard, Suite 100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Houston, Texas 77056-4400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On January 30, 2024, Apache Corporation, a Delaware corporation (“Apache”), entered into an unsecured guaranty of obligations under an unsecured syndicated credit agreement then entered into by APA Corporation, a Delaware corporation (“APA”), of which Apache is a wholly owned subsidiary.</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Apache has guaranteed obligations under a Credit Agreement, dated as of January 30, 2024, among APA, as borrower, the lenders party thereto, JPMorgan Chase Bank, N.A., as administrative agent, and the other agents party thereto (the “Credit Agreement”). Apache’s guaranty is effective until the aggregate principal amount of indebtedness under senior notes and debentures outstanding under Apache’s existing indentures first is less than $1.0 billion.</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lenders under the Credit Agreement have committed an aggregate $2.0 billion for senior unsecured delayed-draw term loans to APA, the proceeds of which, subject to satisfaction of certain limited conditions, APA may use to refinance certain indebtedness of Callon Petroleum Company, a Delaware corporation (“Callon”), upon or after closing of APA’s pending acquisition of Callon pursuant to the previously announced Agreement and Plan of Merger among APA, Astro Comet Merger Sub Corp., a Delaware corporation and wholly owned subsidiary of APA, and Callon, dated January 3, 2024 (the “Merger Agreement”).</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Two tranches of term loans would be available to APA for borrowing only on the date of closing of transactions under the Merger Agreement and satisfaction of certain other conditions under the Credit Agreement (the “Closing Date”); of the aggregate $2.0 billion in commitments, $1.5 billion is for term loans that would mature three years after the Closing Date (the “3-Year Tranche Loans”) and $500 million is for term loans that would mature 364 days after the Closing Date (the “364-Day Tranche Loans”).</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Indebtedness of Callon that APA could refinance by borrowing under the Credit Agreement on the Closing Date includes indebtedness outstanding under (i) the Amended and Restated Credit Agreement, dated October 19, 2022, among Callon, JPMorgan Chase Bank, N.A., as administrative agent, and the lenders party thereto (the “Callon Credit Agreement”), (ii) Callon’s 6.375% Senior Notes due 2026 (“Callon’s 2026 Notes”), (iii) Callon’s 8.00% Senior Notes due 2028 (“Callon’s 2028 Notes”), and (iv) Callon’s 7.500% Senior Notes due 2030 (“Callon’s 2030 Notes”, and together with the Callon Credit Agreement, Callon’s 2026 Notes, and Callon’s 2028 Notes, the “Callon Indebtedness”).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Limited conditions to funding on the Closing Date loans requested by APA in accordance with the Credit Agreement include:</w:t>
      </w:r>
    </w:p>
    <w:p>
      <w:pPr>
        <w:spacing w:after="0" w:line="131" w:lineRule="exact"/>
        <w:rPr>
          <w:sz w:val="20"/>
          <w:szCs w:val="20"/>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transactions under the Merger Agreement without giving effect to changes thereto or waivers thereunder that would be materially adverse to the interests of the lenders or arrangers under the Credit Agreement without their consent;</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certain representations of APA in the Credit Agreement and Callon in the Merger Agreement before and after giving effect to consummation of transactions under the Credit Agreement and the Merger Agreement;</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insolvency, or bankruptcy event of default in respect of APA under the Credit Agreement before and after giving effect to consummation of transactions under the Credit Agreement and the Merger Agreement has occurred and continues;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Material Adverse Effect (as defined in the Merger Agreement) has occurred since the date of the Merger Agreement;</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APA’s certification of its solvency immediately after giving effect to consummation of the transactions under the Credit Agreement and the Merger Agreement;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lender’s receipt of specified “know your customer” and beneficial ownership information;</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APA’s delivery of specified audited annual and unaudited interim financial statements of APA and Callon in respect of certain periods before the Closing Date;</w:t>
      </w:r>
    </w:p>
    <w:p>
      <w:pPr>
        <w:sectPr>
          <w:pgSz w:w="11900" w:h="16838" w:orient="portrait"/>
          <w:cols w:equalWidth="0" w:num="1">
            <w:col w:w="10980"/>
          </w:cols>
          <w:pgMar w:left="440" w:top="293" w:right="479" w:bottom="1440" w:gutter="0" w:footer="0" w:header="0"/>
        </w:sectPr>
      </w:pPr>
    </w:p>
    <w:bookmarkStart w:id="2" w:name="page3"/>
    <w:bookmarkEnd w:id="2"/>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APA’s payment of fees, costs, and expenses then due and payable under the Credit Agreement; and</w:t>
      </w:r>
    </w:p>
    <w:p>
      <w:pPr>
        <w:spacing w:after="0" w:line="130" w:lineRule="exact"/>
        <w:rPr>
          <w:rFonts w:ascii="Times New Roman" w:cs="Times New Roman" w:eastAsia="Times New Roman" w:hAnsi="Times New Roman"/>
          <w:sz w:val="18"/>
          <w:szCs w:val="18"/>
          <w:color w:val="auto"/>
        </w:rPr>
      </w:pPr>
    </w:p>
    <w:p>
      <w:pPr>
        <w:jc w:val="both"/>
        <w:ind w:left="964" w:right="50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all indebtedness outstanding under the Callon Credit Agreement and Callon’s 2026 Notes, and Callon having no other material indebtedness for borrowed money except for Callon’s 2028 Notes and Callon’s 2030 Notes or as permitted under the Credit Agreement or the Merger Agreement.</w:t>
      </w:r>
    </w:p>
    <w:p>
      <w:pPr>
        <w:spacing w:after="0" w:line="176"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Proceeds of loans made under the Credit Agreement may only be used to refinance the Callon Indebtedness and repay fees and expenses related to transactions under the Credit Agreement and the Merger Agreement. To the extent that borrowings by APA under the Credit Agreement are not so used on or before the date that is 120 days after the Closing Date, APA then must prepay the amount of such unused borrowings.</w:t>
      </w:r>
    </w:p>
    <w:p>
      <w:pPr>
        <w:spacing w:after="0" w:line="176"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If $400 million or more in aggregate principal amount of Callon’s 2028 Notes and Callon’s 2030 Notes remains outstanding on the date which is 120 days after the Closing Date, Callon then must guarantee APA’s obligations under the Credit Agreement effective until the aggregate outstanding principal amount of Callon’s 2028 Notes and Callon’s 2030 Notes first is less than $400 million.</w:t>
      </w:r>
    </w:p>
    <w:p>
      <w:pPr>
        <w:spacing w:after="0" w:line="176" w:lineRule="exact"/>
        <w:rPr>
          <w:sz w:val="20"/>
          <w:szCs w:val="20"/>
          <w:color w:val="auto"/>
        </w:rPr>
      </w:pPr>
    </w:p>
    <w:p>
      <w:pPr>
        <w:ind w:left="4" w:right="360" w:firstLine="440"/>
        <w:spacing w:after="0" w:line="276" w:lineRule="auto"/>
        <w:rPr>
          <w:sz w:val="20"/>
          <w:szCs w:val="20"/>
          <w:color w:val="auto"/>
        </w:rPr>
      </w:pPr>
      <w:r>
        <w:rPr>
          <w:rFonts w:ascii="Times New Roman" w:cs="Times New Roman" w:eastAsia="Times New Roman" w:hAnsi="Times New Roman"/>
          <w:sz w:val="17"/>
          <w:szCs w:val="17"/>
          <w:color w:val="auto"/>
        </w:rPr>
        <w:t>APA may at any time prepay loans under the Credit Agreement. APA may at any time terminate, or from time to time reduce, the lenders’ commitments under the Credit Agreement. Unless previously terminated, the lenders’ commitments automatically terminate on the first to occur of:</w:t>
      </w:r>
    </w:p>
    <w:p>
      <w:pPr>
        <w:spacing w:after="0" w:line="1" w:lineRule="exact"/>
        <w:rPr>
          <w:sz w:val="20"/>
          <w:szCs w:val="20"/>
          <w:color w:val="auto"/>
        </w:rPr>
      </w:pPr>
    </w:p>
    <w:p>
      <w:pPr>
        <w:ind w:left="4" w:right="160" w:hanging="4"/>
        <w:spacing w:after="0" w:line="265"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Date, after giving effect to funding of each lender’s commitments on the Closing Date, (ii) APA’s acquisition of Callon pursuant to the Merger Agreement without loans being made under the Credit Agreement, (iii) termination of the Merger Agreement in accordance with its terms, and</w:t>
      </w:r>
    </w:p>
    <w:p>
      <w:pPr>
        <w:ind w:left="304" w:hanging="304"/>
        <w:spacing w:after="0"/>
        <w:tabs>
          <w:tab w:leader="none" w:pos="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Date (as defined in, and may be extended pursuant to, the Merger Agreement).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borrowings under the Credit Agreement would be in U.S. Dollars and bear interest at one of the following two rate options, as selected 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APA, plus the indicated margin:</w:t>
      </w:r>
    </w:p>
    <w:p>
      <w:pPr>
        <w:spacing w:after="0" w:line="112" w:lineRule="exact"/>
        <w:rPr>
          <w:sz w:val="20"/>
          <w:szCs w:val="20"/>
          <w:color w:val="auto"/>
        </w:rPr>
      </w:pPr>
    </w:p>
    <w:p>
      <w:pPr>
        <w:ind w:left="964" w:hanging="424"/>
        <w:spacing w:after="0" w:line="273" w:lineRule="auto"/>
        <w:tabs>
          <w:tab w:leader="none" w:pos="96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option is a base rate per annum equal to the greatest of (i) the applicable prime rate, (ii) the greater of the applicable federal funds rate and overnight bank funding rate, plus 0.50%, and (iii) an adjusted secured overnight financing rate published by the Federal Reserve Bank of New York (“SOFR”) for a one-month interest period plus 1.0%. The margin for this rate option (“Base Rate Margin”) is a rate per annum varying from 0.25% to 1.0% for 364-Day Tranche Loans, 0.375% to 1.125% for 3-Year Tranche Loans until the second anniversary of the Closing Date, and 0.625% to 1.375% for 3-Year Tranche Loans after the second anniversary of the Closing Date, in each case, based on the rating for senior, unsecured, non-credit enhanced, long-term indebtedness for borrowed money of APA, or if such indebtedness is not rated and the Apache guaranty is in effect, of Apache (“Long-Term Debt Rating”). Apache’s Long-Term Debt Rating currently applies.</w:t>
      </w:r>
    </w:p>
    <w:p>
      <w:pPr>
        <w:spacing w:after="0" w:line="76" w:lineRule="exact"/>
        <w:rPr>
          <w:rFonts w:ascii="Times New Roman" w:cs="Times New Roman" w:eastAsia="Times New Roman" w:hAnsi="Times New Roman"/>
          <w:sz w:val="17"/>
          <w:szCs w:val="17"/>
          <w:color w:val="auto"/>
        </w:rPr>
      </w:pPr>
    </w:p>
    <w:p>
      <w:pPr>
        <w:ind w:left="964" w:right="140" w:hanging="424"/>
        <w:spacing w:after="0" w:line="261"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option is an adjusted SOFR rate, plus a margin at a rate per annum varying from 1.25% to 2.0% for 364-Day Tranche Loans, 1.375% to 2.125% for 3-Year Tranche Loans until the second anniversary of the Closing Date, and 1.625% to 2.375% for 3-Year Tranche Loans after the second anniversary of the Closing Date, in each case, based on the Long-Term Debt Rating (“Applicable Margin”). For SOFR-based interest rates, APA may select an interest period of one, three, or six months.</w:t>
      </w:r>
    </w:p>
    <w:p>
      <w:pPr>
        <w:spacing w:after="0" w:line="180"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Currently, the Base Rate Margin is 0.625% for 364-Day Tranche Loans and 0.75% for 3-Year Tranche Loans, and the Applicable Margin is 1.625% for 364-Day Tranche Loans and 1.75% for 3-Year Tranche Loans.</w:t>
      </w:r>
    </w:p>
    <w:p>
      <w:pPr>
        <w:spacing w:after="0" w:line="162" w:lineRule="exact"/>
        <w:rPr>
          <w:sz w:val="20"/>
          <w:szCs w:val="20"/>
          <w:color w:val="auto"/>
        </w:rPr>
      </w:pPr>
    </w:p>
    <w:p>
      <w:pPr>
        <w:ind w:left="4" w:right="740" w:firstLine="440"/>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a ticking fee payable by APA at a rate of 0.225% per annum on the daily average undrawn aggregate commitments thereunder; the ticking fee accrues during the period beginning on the date that is 90 days after January 3, 2024 to the earlier of (i) termination or expiration of the commitments or (ii) the Closing Date.</w:t>
      </w:r>
    </w:p>
    <w:p>
      <w:pPr>
        <w:sectPr>
          <w:pgSz w:w="11900" w:h="16838" w:orient="portrait"/>
          <w:cols w:equalWidth="0" w:num="1">
            <w:col w:w="11004"/>
          </w:cols>
          <w:pgMar w:left="436" w:top="297" w:right="45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APA is subject to representations and warranties, covenants, and events of default under the Credit Agreement substantially similar to those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APA’s existing committed syndicated credit agreements entered into in April 2022, such as:</w:t>
      </w:r>
    </w:p>
    <w:p>
      <w:pPr>
        <w:spacing w:after="0" w:line="112" w:lineRule="exact"/>
        <w:rPr>
          <w:sz w:val="20"/>
          <w:szCs w:val="20"/>
          <w:color w:val="auto"/>
        </w:rPr>
      </w:pPr>
    </w:p>
    <w:p>
      <w:pPr>
        <w:ind w:left="96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covenant requires APA to maintain an adjusted debt-to-capital ratio of not greater than 60% at the end of any fiscal quarter. For purposes of this calculation, capital continues to exclude the effects of non-cash write-downs, impairments, and related charges occurring after June 30, 2015.</w:t>
      </w:r>
    </w:p>
    <w:p>
      <w:pPr>
        <w:spacing w:after="0" w:line="81" w:lineRule="exact"/>
        <w:rPr>
          <w:rFonts w:ascii="Times New Roman" w:cs="Times New Roman" w:eastAsia="Times New Roman" w:hAnsi="Times New Roman"/>
          <w:sz w:val="18"/>
          <w:szCs w:val="18"/>
          <w:color w:val="auto"/>
        </w:rPr>
      </w:pPr>
    </w:p>
    <w:p>
      <w:pPr>
        <w:ind w:left="960" w:hanging="424"/>
        <w:spacing w:after="0" w:line="25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covenant restricts the ability of APA and its subsidiaries to create liens securing debt on their hydrocarbon-related assets, with exceptions for liens typically arising in the oil and gas industry; liens securing debt incurred to finance the acquisition, construction, improvement, or capital lease of assets, provided that such debt, when incurred, does not exceed the subject purchase price and costs, as applicable, and related expenses; liens on subsidiary assets located outside of the U.S. and Canada; and liens arising as a matter of law, such as tax and mechanics’ liens. Liens on assets also are permitted if debt secured thereby does not exceed 15% of APA’s consolidated net tangible assets.</w:t>
      </w:r>
    </w:p>
    <w:p>
      <w:pPr>
        <w:spacing w:after="0" w:line="92"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covenants restrict APA’s ability to merge with another entity unless it is the surviving entity, a borrower’s disposition of substantially all of its assets, prohibitions on the ability of certain subsidiaries to make payments to borrowers, and guarantees by APA or certain subsidiaries of debt of non-consolidated entities in excess of the stated threshold.</w:t>
      </w:r>
    </w:p>
    <w:p>
      <w:pPr>
        <w:spacing w:after="0" w:line="81"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Lenders may accelerate payment maturity and terminate lending commitments for nonpayment and other breaches; if APA or certain subsidiaries defaults on other indebtedness in excess of the stated threshold, has any unpaid, non-appealable judgment against it for payment of money in excess of the stated threshold, or has specified pension plan liabilities in excess of the stated threshold; or APA undergoes a specified change in control. Such acceleration and termination are automatic upon specified insolvency events of APA or certain subsidiaries.</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Credit Agreement does not permit lenders to accelerate maturity based on unspecified material adverse changes and does not have prepayment obligations in the event of a decline in credit ratings.</w:t>
      </w:r>
    </w:p>
    <w:p>
      <w:pPr>
        <w:spacing w:after="0" w:line="162" w:lineRule="exact"/>
        <w:rPr>
          <w:sz w:val="20"/>
          <w:szCs w:val="20"/>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The foregoing is a summary of the Credit Agreement and related Apache guaranty, does not purport to be complete, and is subject to, and qualified in its entirety by, the full text of the Credit Agreement, a copy of which is filed as Exhibit 10.2 to this report and incorporated herein by reference, and related Apache Guaranty, a copy of which is filed as Exhibit 10.1 to this report and incorporated herein by reference.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Credit Agreement and related Apache Guaranty sometimes is referred to herein as a “Credit Document”. Each Credit Document has been filed with this report to provide investors and security holders with information regarding its terms; it is not intended to provide any other factual information about APA, Apache, or Callon. Representations, warranties, and covenants in each Credit Document were made only for purposes of such Credit Document, were solely for the benefit of the parties to such Credit Document, and may be subject to limitations agreed upon by the contracting parties, including being qualified by confidential disclosures exchanged between the parties in connection with the execution of such Credit Document. Representations and warranties in each Credit Document may have been made as of specific dates and for purposes of allocating contractual risk between the parties instead of establishing matters as facts, and may be subject to standards of materiality applicable to the contracting parties that differ from those applicable to investors. Investors are not third-party beneficiaries under any Credit Document and should not rely on the representations, warranties, and covenants or any descriptions thereof as characterizations of the actual state of facts or condition of APA, Apache, or any of their respective subsidiaries or affiliates. Moreover, information concerning the subject matter of the representations and warranties may change after the date of each Credit Document, which subsequent information may or may not be fully reflected in public disclosures of APA or Apache.</w:t>
      </w:r>
    </w:p>
    <w:p>
      <w:pPr>
        <w:sectPr>
          <w:pgSz w:w="11900" w:h="16838" w:orient="portrait"/>
          <w:cols w:equalWidth="0" w:num="1">
            <w:col w:w="10980"/>
          </w:cols>
          <w:pgMar w:left="440" w:top="297" w:right="47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is included in Item 1.01 and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ind w:left="660" w:hanging="660"/>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Guaranty, dated as of January 30, 2024, made by Apache Corporation in favor of each of the lenders and agents party to the Credit Agreement, dated as of January 30, 2024, among APA Corporation, the lenders party thereto, JPMorgan Chase Bank, N.A., as Administrative Agent, and the other agents party thereto.</w:t>
      </w:r>
    </w:p>
    <w:p>
      <w:pPr>
        <w:spacing w:after="0" w:line="68" w:lineRule="exact"/>
        <w:rPr>
          <w:sz w:val="20"/>
          <w:szCs w:val="20"/>
          <w:color w:val="auto"/>
        </w:rPr>
      </w:pPr>
    </w:p>
    <w:p>
      <w:pPr>
        <w:ind w:left="660" w:right="70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Credit Agreement, dated as of January 30, 2024, among APA Corporation, the lenders party thereto, JPMorgan Chase Bank, N.A., as Administrative Agent, and the other agents party thereto.</w:t>
      </w:r>
    </w:p>
    <w:p>
      <w:pPr>
        <w:spacing w:after="0" w:line="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APACHE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 C.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Ben C. Rodgers,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Treasurer</w:t>
      </w:r>
    </w:p>
    <w:p>
      <w:pPr>
        <w:sectPr>
          <w:pgSz w:w="11900" w:h="16838" w:orient="portrait"/>
          <w:cols w:equalWidth="0" w:num="1">
            <w:col w:w="10260"/>
          </w:cols>
          <w:pgMar w:left="440" w:top="293" w:right="11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GUARANTY – APACHE CORPORATION</w:t>
      </w:r>
    </w:p>
    <w:p>
      <w:pPr>
        <w:spacing w:after="0" w:line="229"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THIS GUARANTY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dated as of January 30, 2024, is made by APACHE CORPORATION, a Delaware corporation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favor of each of the Lender Parties (as defined below).</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WHEREAS, APA Corporation, a Delaware corporation (“</w:t>
      </w:r>
      <w:r>
        <w:rPr>
          <w:rFonts w:ascii="Times New Roman" w:cs="Times New Roman" w:eastAsia="Times New Roman" w:hAnsi="Times New Roman"/>
          <w:sz w:val="18"/>
          <w:szCs w:val="18"/>
          <w:u w:val="single" w:color="auto"/>
          <w:color w:val="auto"/>
        </w:rPr>
        <w:t>APA</w:t>
      </w:r>
      <w:r>
        <w:rPr>
          <w:rFonts w:ascii="Times New Roman" w:cs="Times New Roman" w:eastAsia="Times New Roman" w:hAnsi="Times New Roman"/>
          <w:sz w:val="18"/>
          <w:szCs w:val="18"/>
          <w:color w:val="auto"/>
        </w:rPr>
        <w:t>”), as a Borrower, the Lenders, JPMorgan Chase Bank, N.A., as Administrative Agent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other agents party thereto, have entered into that certain Credit Agreement dated as of January 30, 2024 (such agreement, as the same may from time to time be amended, supplemented, restated or otherwise modified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pursuant to which Lenders agreed to make Loan;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as a condition precedent to the Credit Agreement, the Guarantor is required to execute and deliver this Guaranty; and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the Guarantor has duly authorized the execution, delivery and performance of this Guaranty; and</w:t>
      </w:r>
    </w:p>
    <w:p>
      <w:pPr>
        <w:spacing w:after="0" w:line="225" w:lineRule="exact"/>
        <w:rPr>
          <w:sz w:val="20"/>
          <w:szCs w:val="20"/>
          <w:color w:val="auto"/>
        </w:rPr>
      </w:pPr>
    </w:p>
    <w:p>
      <w:pPr>
        <w:ind w:left="4" w:right="400" w:firstLine="440"/>
        <w:spacing w:after="0" w:line="312" w:lineRule="auto"/>
        <w:rPr>
          <w:sz w:val="20"/>
          <w:szCs w:val="20"/>
          <w:color w:val="auto"/>
        </w:rPr>
      </w:pPr>
      <w:r>
        <w:rPr>
          <w:rFonts w:ascii="Times New Roman" w:cs="Times New Roman" w:eastAsia="Times New Roman" w:hAnsi="Times New Roman"/>
          <w:sz w:val="17"/>
          <w:szCs w:val="17"/>
          <w:color w:val="auto"/>
        </w:rPr>
        <w:t>WHEREAS, it is in the best interests of the Guarantor to execute this Guaranty inasmuch as the Guarantor derives and will continue to derive substantial direct and indirect benefits from the Loans made from time to time to Borrower by Lenders, each pursuant to the Credit Agreement;</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of which is hereby acknowledged, and in order to induce Lenders to make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Loans to Borrower, the Guarantor agrees, for the benefit of each Lender Party, as follows:</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Terms</w:t>
      </w:r>
      <w:r>
        <w:rPr>
          <w:rFonts w:ascii="Times New Roman" w:cs="Times New Roman" w:eastAsia="Times New Roman" w:hAnsi="Times New Roman"/>
          <w:sz w:val="18"/>
          <w:szCs w:val="18"/>
          <w:color w:val="auto"/>
        </w:rPr>
        <w:t>. The following terms (whether or not underscored) when used in this Guaranty, including its preamble and recitals, shall have the following meanings (such definitions to be equally applicable to the singular and plural forms thereof):</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is defined in the first recital.</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Apache Indentures</w:t>
      </w:r>
      <w:r>
        <w:rPr>
          <w:rFonts w:ascii="Times New Roman" w:cs="Times New Roman" w:eastAsia="Times New Roman" w:hAnsi="Times New Roman"/>
          <w:sz w:val="18"/>
          <w:szCs w:val="18"/>
          <w:color w:val="auto"/>
        </w:rPr>
        <w:t>” means collectively the following four indentures, as each heretofore has been, or hereafter may be, amended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supplemented from time to time: (i) Indenture, dated February 15, 1996, between the Guarantor and The Bank of New York Mellon Trust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 (as successor in interest to JPMorgan Chase Bank, N.A., formerly known as The Chase Manhattan Bank, formerly known as Chemical Bank)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BONY</w:t>
      </w:r>
      <w:r>
        <w:rPr>
          <w:rFonts w:ascii="Times New Roman" w:cs="Times New Roman" w:eastAsia="Times New Roman" w:hAnsi="Times New Roman"/>
          <w:sz w:val="17"/>
          <w:szCs w:val="17"/>
          <w:color w:val="auto"/>
        </w:rPr>
        <w:t>”), as trustee; (ii) Indenture, dated as of November 23, 1999, among the Guarantor, Apache Finance Canada Corporation, and BONY, as trustee;</w:t>
      </w:r>
    </w:p>
    <w:p>
      <w:pPr>
        <w:spacing w:after="0" w:line="21" w:lineRule="exact"/>
        <w:rPr>
          <w:sz w:val="20"/>
          <w:szCs w:val="20"/>
          <w:color w:val="auto"/>
        </w:rPr>
      </w:pPr>
    </w:p>
    <w:p>
      <w:pPr>
        <w:ind w:left="4" w:right="140" w:hanging="4"/>
        <w:spacing w:after="0" w:line="260"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May 19, 2011, between the Guarantor and Wells Fargo Bank, National Association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as trustee, and (iv) Indenture, dated August 14, 2018, between the Guarantor and Wells Fargo, as trustee.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shall mean the “Borrower” as defined in the Credit Agreement.</w:t>
      </w:r>
    </w:p>
    <w:p>
      <w:pPr>
        <w:sectPr>
          <w:pgSz w:w="11900" w:h="16838" w:orient="portrait"/>
          <w:cols w:equalWidth="0" w:num="1">
            <w:col w:w="11024"/>
          </w:cols>
          <w:pgMar w:left="436" w:top="117" w:right="439" w:bottom="1440" w:gutter="0" w:footer="0" w:header="0"/>
        </w:sectPr>
      </w:pPr>
    </w:p>
    <w:bookmarkStart w:id="7" w:name="page8"/>
    <w:bookmarkEnd w:id="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is defined in the first recital.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is defined in the preamble.</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means, as the context may require, any Lender, the Administrative Agent, or any other Agent and each of their respective successors, transferees and assigns.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shall mean the “Lenders” as defined in the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in the State of New York.</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Credit Agreement Definitions</w:t>
      </w:r>
      <w:r>
        <w:rPr>
          <w:rFonts w:ascii="Times New Roman" w:cs="Times New Roman" w:eastAsia="Times New Roman" w:hAnsi="Times New Roman"/>
          <w:sz w:val="18"/>
          <w:szCs w:val="18"/>
          <w:color w:val="auto"/>
        </w:rPr>
        <w:t>. Unless otherwise defined herein or the context otherwise requires, terms used in this Guaranty, including its preamble and recitals, have the meanings provided in the Credit Agreement.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U.C.C. Definitions</w:t>
      </w:r>
      <w:r>
        <w:rPr>
          <w:rFonts w:ascii="Times New Roman" w:cs="Times New Roman" w:eastAsia="Times New Roman" w:hAnsi="Times New Roman"/>
          <w:sz w:val="18"/>
          <w:szCs w:val="18"/>
          <w:color w:val="auto"/>
        </w:rPr>
        <w:t>. Unless otherwise defined herein or the context otherwise requires, terms for which meanings are provided in the U.C.C. are used in this Guaranty, including its preamble and recitals, with such meanings.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GUARANTY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The Guarantor hereby absolutely, unconditionally and irrevocably:</w:t>
      </w:r>
    </w:p>
    <w:p>
      <w:pPr>
        <w:spacing w:after="0" w:line="117" w:lineRule="exact"/>
        <w:rPr>
          <w:sz w:val="20"/>
          <w:szCs w:val="20"/>
          <w:color w:val="auto"/>
        </w:rPr>
      </w:pPr>
    </w:p>
    <w:p>
      <w:pPr>
        <w:jc w:val="both"/>
        <w:ind w:left="440" w:right="80" w:firstLine="419"/>
        <w:spacing w:after="0" w:line="261" w:lineRule="auto"/>
        <w:tabs>
          <w:tab w:leader="none" w:pos="11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the full and punctual payment when due, whether at stated maturity, by required prepayment, declaration, acceleration, demand or otherwise, of all Obligations of Borrower now or hereafter existing under the Credit Agreement and each other Loan Document, whether for principal, interest, fees, expenses or otherwise, and including all amounts in respect of indemnities by Borrower of any Lender or any Agent, and</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indemnifies and holds harmless each Lender Party for any and all costs and expenses (including reasonable attorneys’ fees and expenses) incurred by such Lender Party, as the case may be, in enforcing any rights under this Guaranty;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Guarantor shall be liable under this Guaranty for the maximum amount of such liability that can be hereby incurred without rendering this Guaranty, as it relates to the Guarantor, voidable under applicable law relating to fraudulent conveyance or fraudulent transfer, and not for any greater amount. This Guaranty constitutes a guaranty of payment when due and not of collection, and the Guarantor specifically agrees that it shall not be necessary or required that any Lender Party exercise any right, assert any claim or demand or enforce any remedy whatsoever against Borrower (or any other Person) before or as a condition to the obligations of the Guarantor hereunder.</w:t>
      </w:r>
    </w:p>
    <w:p>
      <w:pPr>
        <w:sectPr>
          <w:pgSz w:w="11900" w:h="16838" w:orient="portrait"/>
          <w:cols w:equalWidth="0" w:num="1">
            <w:col w:w="11000"/>
          </w:cols>
          <w:pgMar w:left="440" w:top="270" w:right="459" w:bottom="1440" w:gutter="0" w:footer="0" w:header="0"/>
        </w:sectPr>
      </w:pPr>
    </w:p>
    <w:bookmarkStart w:id="8" w:name="page9"/>
    <w:bookmarkEnd w:id="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Acceleration of Guaranty</w:t>
      </w:r>
      <w:r>
        <w:rPr>
          <w:rFonts w:ascii="Times New Roman" w:cs="Times New Roman" w:eastAsia="Times New Roman" w:hAnsi="Times New Roman"/>
          <w:sz w:val="18"/>
          <w:szCs w:val="18"/>
          <w:color w:val="auto"/>
        </w:rPr>
        <w:t>. The Guarantor agrees that, in the event of the dissolution or insolvency of Borrower or any Guarantor, or the inability or failure of Borrower or any Guarantor to pay debts as they become due, or an assignment by Borrower or any Guarantor for the benefit of creditors, or the commencement of any case or proceeding in respect of Borrower or any Guarantor under any bankruptcy, insolvency or similar laws, which, if commenced by any Person other than Borrower, is not dismissed within 60 days, or the appointment of an administrator to Borrower, or the appointment of a receiver, receiver and manager, or similar officer being appointed to all or any of the assets and undertaking of Borrower, or, in addition to assignment for the benefit of creditors, an arrangement, compromise, or composition with Borrower’s creditors or a class of them, or the liquidation or winding up of Borrower or the commencement of proceedings to do so, and if such event shall occur at a time when any of the Obligations of Borrower may not then be due and payable, the Guarantor will pay to the Lender Parties in the United States of America, forthwith the full amount which would be payable hereunder by the Guarantor if all such Obligations were then due and payable.</w:t>
      </w:r>
    </w:p>
    <w:p>
      <w:pPr>
        <w:spacing w:after="0" w:line="188"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Guaranty Absolute, etc</w:t>
      </w:r>
      <w:r>
        <w:rPr>
          <w:rFonts w:ascii="Times New Roman" w:cs="Times New Roman" w:eastAsia="Times New Roman" w:hAnsi="Times New Roman"/>
          <w:sz w:val="18"/>
          <w:szCs w:val="18"/>
          <w:color w:val="auto"/>
        </w:rPr>
        <w:t xml:space="preserve">. This Guaranty shall in all respects be a continuing, absolute, unconditional and irrevocable guaranty of payment, and, subject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hereto, shall remain in full force and effect until all Obligations of Borrower have been paid in full, all obligations of the Guarantor hereunder shall have been paid in full and all Commitments shall have terminated. The Guarantor guarantees that the Obligations of Borrower will be paid strictly in accordance with the terms of the Credit Agreement and each other Loan Document under which they arise, regardless of any law, regulation or order now or hereafter in effect in any jurisdiction affecting any of such terms or the rights of any Lender Party with respect thereto. The liability of the Guarantor under this Guaranty with respect to the Obligations of Borrower shall be absolute, unconditional and irrevocable irrespective of:</w:t>
      </w:r>
    </w:p>
    <w:p>
      <w:pPr>
        <w:spacing w:after="0" w:line="81" w:lineRule="exact"/>
        <w:rPr>
          <w:sz w:val="20"/>
          <w:szCs w:val="20"/>
          <w:color w:val="auto"/>
        </w:rPr>
      </w:pPr>
    </w:p>
    <w:p>
      <w:pPr>
        <w:ind w:left="1100" w:hanging="241"/>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legality or enforceability of the Credit Agreement or any other Loan Document;</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Party (i) to assert any claim or demand or to enforce any right or remedy against Borrower or any other Person (including any other guarantor) under the provisions of the Credit Agreement, any other Loan Document or otherwise, or (ii) to exercise any right or remedy against any other guarantor of, or collateral securing, any Obligations of Borrower;</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time, manner or place of payment of, or in any other term of, all or any of the Obligations of Borrower, or any other extension, compromise or renewal of any Obligation of Borrower;</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limitation, impairment or termination of any Obligations of Borrower for any reason, including any claim of waiver, release, surrender, alteration or compromise;</w:t>
      </w:r>
    </w:p>
    <w:p>
      <w:pPr>
        <w:spacing w:after="0" w:line="53"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rescission, waiver, or other modification of, or any consent to departure from, any of the terms of the Credit Agreement or any other Loan Document;</w:t>
      </w:r>
    </w:p>
    <w:p>
      <w:pPr>
        <w:sectPr>
          <w:pgSz w:w="11900" w:h="16838" w:orient="portrait"/>
          <w:cols w:equalWidth="0" w:num="1">
            <w:col w:w="10980"/>
          </w:cols>
          <w:pgMar w:left="440" w:top="270" w:right="479" w:bottom="1440" w:gutter="0" w:footer="0" w:header="0"/>
        </w:sectPr>
      </w:pPr>
    </w:p>
    <w:bookmarkStart w:id="9" w:name="page10"/>
    <w:bookmarkEnd w:id="9"/>
    <w:p>
      <w:pPr>
        <w:ind w:left="440" w:right="60" w:firstLine="419"/>
        <w:spacing w:after="0" w:line="282" w:lineRule="auto"/>
        <w:tabs>
          <w:tab w:leader="none" w:pos="10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addition, exchange, release, surrender or non-perfection of any collateral, or any amendment to or waiver or release or addition of, or consent to departure from, any other guaranty, held by any Lender Party securing any of the Obligations of Borrower;</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Party becoming a party to or bound by any compromise, moratorium, assignment of property, scheme of arrangement, composition of debts or scheme of reconstruction by or relating to any Person; or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legal or equitable discharge of, Borrower, any surety or any guarantor,</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and shall not be subject to (and the Guarantor hereby waives any right to or claim of) any defense or setoff, counterclaim, recoupment or termination whatsoever by reason of the invalidity, illegality, nongenuineness, irregularity, compromise, unenforceability of, or any other event or occurrence affecting, any Obligations of Borrower or otherwise.</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Reinstatement, etc</w:t>
      </w:r>
      <w:r>
        <w:rPr>
          <w:rFonts w:ascii="Times New Roman" w:cs="Times New Roman" w:eastAsia="Times New Roman" w:hAnsi="Times New Roman"/>
          <w:sz w:val="18"/>
          <w:szCs w:val="18"/>
          <w:color w:val="auto"/>
        </w:rPr>
        <w:t>. The Guarantor agrees that this Guaranty shall continue to be effective or be reinstated, as the case may be, if at any time any payment (in whole or in part) of any of the Obligations is rescinded or must otherwise be restored by any Lender Party, upon the insolvency, bankruptcy or reorganization of Borrower, the appointment of an administrator to Borrower, the appointment of a receiver, receiver and manager or similar officer being appointed to all or any of the assets and undertaking of Borrower, in addition to assignment for the benefit of creditors, any arrangement, compromise, or composition with Borrower’s creditors or a class of them, or the liquidation or winding up of Borrower or the commencement of proceedings to do so, or otherwise, all as though such payment had not been made.</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Guarantor hereby waives promptness, diligence, notice of acceptance and any other notice with respect to any of the Obligations of Borrower and this Guaranty and any requirement that any Agent or any other Lender Party protect, secure, perfect or insure any security interest or Lien, or any property subject thereto, or exhaust any right or take any action against Borrower, any other Loan Party or any other Person (including any other guarantor) or entity or any collateral securing the Obligations of Borrower.</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Subrogation, etc</w:t>
      </w:r>
      <w:r>
        <w:rPr>
          <w:rFonts w:ascii="Times New Roman" w:cs="Times New Roman" w:eastAsia="Times New Roman" w:hAnsi="Times New Roman"/>
          <w:sz w:val="18"/>
          <w:szCs w:val="18"/>
          <w:color w:val="auto"/>
        </w:rPr>
        <w:t xml:space="preserve">. The Guarantor will not exercise any rights which it may acquire by reason of any payment made hereunder, whether by way of rights of subrogation, reimbursement, contribution indemnity, proof or claim in liquidation or otherwise, until the prior payment, in full and in cash, of all Obligations of Borrower. Any amount paid to the Guarantor on account of any payment made hereunder prior to the payment in full of all Obligations of Borrower shall be received and held in trust for the benefit of the Lender Parties and shall immediately be paid to the Administrative Agent and credited and applied against the Obligations of Borrower, whether matured or unmatured, in accordance with the terms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the Guarantor has made payment to the Lender Parties of all or any part of the Obligations of Borrower, and</w:t>
      </w:r>
    </w:p>
    <w:p>
      <w:pPr>
        <w:sectPr>
          <w:pgSz w:w="11900" w:h="16838" w:orient="portrait"/>
          <w:cols w:equalWidth="0" w:num="1">
            <w:col w:w="11020"/>
          </w:cols>
          <w:pgMar w:left="440" w:top="270" w:right="439" w:bottom="1440" w:gutter="0" w:footer="0" w:header="0"/>
        </w:sectPr>
      </w:pPr>
    </w:p>
    <w:bookmarkStart w:id="10" w:name="page11"/>
    <w:bookmarkEnd w:id="10"/>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all Obligations of Borrower have been paid in full and all Commitments have been permanently terminated,</w:t>
      </w:r>
    </w:p>
    <w:p>
      <w:pPr>
        <w:spacing w:after="0" w:line="22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each Lender Party agrees that, at the Guarantor’s request, the Administrative Agent, on behalf of the Lender Parties, will execute and deliver to the Guarantor appropriate documents (without recourse and without representation or warranty) necessary to evidence the transfer by subrogation to the Guarantor of an interest in the Obligations of Borrower resulting from such payment by the Guarantor. In furtherance of the foregoing, for so long as any Obligations or Commitments remain outstanding, the Guarantor shall refrain from taking any action or commencing any proceeding against Borrower (or its successors or assigns, whether in connection with a bankruptcy or insolvency proceeding or otherwise) to recover any amounts in respect of payments made under this Guaranty to any Lender Party.</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Successors, Transferees and Assigns, etc</w:t>
      </w:r>
      <w:r>
        <w:rPr>
          <w:rFonts w:ascii="Times New Roman" w:cs="Times New Roman" w:eastAsia="Times New Roman" w:hAnsi="Times New Roman"/>
          <w:sz w:val="18"/>
          <w:szCs w:val="18"/>
          <w:color w:val="auto"/>
        </w:rPr>
        <w:t>. This Guaranty shall (a) be binding upon the Guarantor, and its successors, transferees and assigns, and (b) inure to the benefit of and be enforceable by the Administrative Agent and each other Lender Party. Without limiting the generality of the foregoing clause (b), any Lender may assign or otherwise transfer (in whole or in part) any Loan held by it to any other Person or entity, and such other Person or entity shall thereupon become vested with all rights and benefits in respect thereof granted to such Lender under any Loan Document (including this Guaranty) or otherwise, subject, however, to any contrary provisions in such assignment or transfer, and to the provisions of Article IX and Section 10.4 of the Credit Agreement.</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If any Obligations (including obligations which would have been Obligations if they were recoverable) of Borrower is not recoverable from such Borrower or other Loan Party for any reason (including, without limitation, any legal limitation, disability, incapacity or thing affecting such Borrower or other Loan Party), the Guarantor shall indemnify each Lender Party on demand and shall satisfy those obligations to the relevant Lender Party on demand. This applies whether or not: (a) any transaction relating to the Obligations of Borrower was void or illegal or has been subsequently avoided, or (b) any matter or fact relating to that transaction was or ought to have been within the knowledge of any Lender Party.</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Termination of Guaranty</w:t>
      </w:r>
      <w:r>
        <w:rPr>
          <w:rFonts w:ascii="Times New Roman" w:cs="Times New Roman" w:eastAsia="Times New Roman" w:hAnsi="Times New Roman"/>
          <w:sz w:val="18"/>
          <w:szCs w:val="18"/>
          <w:color w:val="auto"/>
        </w:rPr>
        <w:t>. Notwithstanding anything to the contrary contained herein, this Guaranty shall continue in full force and effect until the following shall occur: (i) the first time that the aggregate principal amount of Indebtedness remaining outstanding under senior notes and debentures issued under the Apache Indentures is less than $1,000,000,000 and (ii) the Guarantor has provided written notice to the Administrative Agent of such occurrence and the termination of the Guaranty.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Guarantor hereby represents and warrants unto each Lender Party as set forth in this Article.</w:t>
      </w:r>
    </w:p>
    <w:p>
      <w:pPr>
        <w:sectPr>
          <w:pgSz w:w="11900" w:h="16838" w:orient="portrait"/>
          <w:cols w:equalWidth="0" w:num="1">
            <w:col w:w="10980"/>
          </w:cols>
          <w:pgMar w:left="440" w:top="270" w:right="479" w:bottom="1440" w:gutter="0" w:footer="0" w:header="0"/>
        </w:sectPr>
      </w:pPr>
    </w:p>
    <w:bookmarkStart w:id="11" w:name="page12"/>
    <w:bookmarkEnd w:id="11"/>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The Guarantor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execution, delivery and performance by the Guarantor of this Guaranty and each other Loan Document executed or to be executed by it are within the Guarantor’s corporate powers, and have been duly authorized by all necessary corporate action, and if required, stockholder action. This Guaranty has been duly executed and delivered by the Guarantor and constitutes a legal, valid and binding obligation of the Guarantor,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Approvals; No Conflicts</w:t>
      </w:r>
      <w:r>
        <w:rPr>
          <w:rFonts w:ascii="Times New Roman" w:cs="Times New Roman" w:eastAsia="Times New Roman" w:hAnsi="Times New Roman"/>
          <w:sz w:val="18"/>
          <w:szCs w:val="18"/>
          <w:color w:val="auto"/>
        </w:rPr>
        <w:t>. The representations and warranties made with respect to it under Section 3.3 of the Credit Agreement are true and correct in all material respects as to the Guarantor as of the date hereof.</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Benefit to the Guarantor</w:t>
      </w:r>
      <w:r>
        <w:rPr>
          <w:rFonts w:ascii="Times New Roman" w:cs="Times New Roman" w:eastAsia="Times New Roman" w:hAnsi="Times New Roman"/>
          <w:sz w:val="18"/>
          <w:szCs w:val="18"/>
          <w:color w:val="auto"/>
        </w:rPr>
        <w:t>. The Guarantor is a wholly-owned subsidiary of APA; and the Guarantor’s guaranty pursuant to this Guaranty reasonably may be expected to benefit, directly or indirectly, the Guarantor; and the Guarantor has determined that this Guaranty is necessary and convenient to the conduct, promotion and attainment of the business of the Guarantor and APA.</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Guaranty is a Loan Document executed pursuant to the Credit Agreement.</w:t>
      </w:r>
    </w:p>
    <w:p>
      <w:pPr>
        <w:spacing w:after="0" w:line="225"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is in all respects subject to Section 10.3(d) of the Credit Agreement. In consideration of the execution and delivery of the Credit Agreement by each Lender Party and the extension of the Commitments, the Guarantor shall indemnify the Lender Parties,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(i) the execution or delivery of this Guaranty or any agreement or instrument contemplated hereby, the performance by the parties hereto of their respective obligations hereunder or the consummation of the Transactions or any other transactions contemplated hereby, and (ii) any actual or prospective claim, litigation, investigation or proceeding relating to any of the foregoing, whether based on contract, tort or any other theory and regardless of whether any Indemnitee is a party thereto; provided that such indemnity shall not, as to any Indemnitee, be available to the extent that such losses, claims, damages, liabilities or related expenses (a) resulted from the gross negligence or willful misconduct of such Indemnitee or (b) arose in connection with any issue in litigation commenced by Guarantor or any of its Subsidiaries against any Indemnitee for which a final judgment is</w:t>
      </w:r>
    </w:p>
    <w:p>
      <w:pPr>
        <w:sectPr>
          <w:pgSz w:w="11900" w:h="16838" w:orient="portrait"/>
          <w:cols w:equalWidth="0" w:num="1">
            <w:col w:w="10940"/>
          </w:cols>
          <w:pgMar w:left="440" w:top="270" w:right="519" w:bottom="1440" w:gutter="0" w:footer="0" w:header="0"/>
        </w:sectPr>
      </w:pPr>
    </w:p>
    <w:bookmarkStart w:id="12" w:name="page13"/>
    <w:bookmarkEnd w:id="1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entered in favor of Guarantor or any of its Subsidiaries against such Indemnitee. The obligations of the Guarantor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survive the termination of this Guaranty or any non-assumption of this Guaranty in a bankruptcy or similar proceeding. The Guarantor shall be obligated to indemnify the Indemnitee for all Claims regardless of whether the Guarantor had knowledge of the facts and circumstances giving rise to such Claims.</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Binding on Successors, Transferees and Assigns; Substitution</w:t>
      </w:r>
      <w:r>
        <w:rPr>
          <w:rFonts w:ascii="Times New Roman" w:cs="Times New Roman" w:eastAsia="Times New Roman" w:hAnsi="Times New Roman"/>
          <w:sz w:val="18"/>
          <w:szCs w:val="18"/>
          <w:color w:val="auto"/>
        </w:rPr>
        <w:t xml:space="preserve">. In addition to, and not in limitation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this Guaranty shall be binding upon the Guarantor and its successors, transferees and assigns and shall inure to the benefit of and be enforceable by each Lender Party and their respective successors, transferees and assigns (to the full extent provided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Guarantor may not assign any of its obligations hereunder without the prior written consent of the Required Lenders.</w:t>
      </w:r>
    </w:p>
    <w:p>
      <w:pPr>
        <w:spacing w:after="0" w:line="180"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No amendment to or waiver of any provision of this Guaranty, nor consent to any departure by the Guarantor herefrom, shall in any event be effective unless the same shall be in writing and signed by the Administrative Agent, and then such waiver or consent shall be effective only in the specific instance and for the specific purpose for which given.</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Addresses for Notices to the Guarantor</w:t>
      </w:r>
      <w:r>
        <w:rPr>
          <w:rFonts w:ascii="Times New Roman" w:cs="Times New Roman" w:eastAsia="Times New Roman" w:hAnsi="Times New Roman"/>
          <w:sz w:val="18"/>
          <w:szCs w:val="18"/>
          <w:color w:val="auto"/>
        </w:rPr>
        <w:t>. All notices and other communications hereunder to the Guarantor shall be in writing and shall be delivered by hand or overnight courier service, mailed by certified or registered mail or sent by electronic mail, addressed to it at the address set forth below its signature hereto or at such other address as shall be designated by the Guarantor in a written notice to the Administrative Agent at the address specified in the Credit Agreement complying as to delivery with the terms of this Section. All such notices and other communications if mailed and properly addressed postage prepaid shall be deemed given when deposited in the mails and, if transmitted by electronic mail properly addressed shall be deemed given when transmitted. All notices and other communications hereunder to a Lender Party shall be given pursuant to the provisions of Section 10.1 of the Credit Agreement.</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xml:space="preserve">. In addition to, and not in limitation of,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no failure on the part of any Lender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Section Captions</w:t>
      </w:r>
      <w:r>
        <w:rPr>
          <w:rFonts w:ascii="Times New Roman" w:cs="Times New Roman" w:eastAsia="Times New Roman" w:hAnsi="Times New Roman"/>
          <w:sz w:val="18"/>
          <w:szCs w:val="18"/>
          <w:color w:val="auto"/>
        </w:rPr>
        <w:t>. Section captions used in this Guaranty are for convenience of reference only, and shall not affect the construction of this Guaranty.</w:t>
      </w:r>
    </w:p>
    <w:p>
      <w:pPr>
        <w:spacing w:after="0" w:line="162"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In addition to, and not in limitation of, any rights of any Lender Party under applicable law, each Lender Party shall, upon the occurrence and during continuance of any Event of Default, have the same rights of setoff under this Guaranty in respect of the obligations of the Guarantor owing to it hereunder as it has under Section 10.8 of the Credit Agreement in respect of the Obligations.</w:t>
      </w:r>
    </w:p>
    <w:p>
      <w:pPr>
        <w:sectPr>
          <w:pgSz w:w="11900" w:h="16838" w:orient="portrait"/>
          <w:cols w:equalWidth="0" w:num="1">
            <w:col w:w="11000"/>
          </w:cols>
          <w:pgMar w:left="440" w:top="270" w:right="459" w:bottom="1440" w:gutter="0" w:footer="0" w:header="0"/>
        </w:sectPr>
      </w:pPr>
    </w:p>
    <w:bookmarkStart w:id="13" w:name="page14"/>
    <w:bookmarkEnd w:id="13"/>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Guaranty shall be interpreted in such manner as to be effective and valid under applicable law, but if any provision of this Guaranty shall be prohibited by or invalid under such law, such provision shall be ineffective to the extent of such prohibition or invalidity, without invalidating the remainder of such provision or the remaining provisions of this Guaranty.</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Guarantor hereby acknowledges and covenants that the obligations binding upon it contained in this Guaranty are owed to, and shall be for the benefit of, each and every Lender Party. Each Lender Party shall be entitled severally to enforce the said obligations against the Guarantor.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40" w:firstLine="419"/>
        <w:spacing w:after="0" w:line="261" w:lineRule="auto"/>
        <w:tabs>
          <w:tab w:leader="none" w:pos="11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SHALL BE CONSTRUED IN ACCORDANCE WITH AND GOVERNED BY THE LAW OF THE STATE OF NEW YORK. WITHOUT GIVING EFFECT TO ITS PRINCIPLES OR RULES OF CONFLICT OF LAWS TO THE EXTENT SUCH PRINCIPLES OR RULES ARE NOT MANDATORILY APPLICABLE BY STATUTE AND WOULD REQUIRE OR PERMIT THE APPLICATION OF THE LAWS OF ANOTHER JURISDICTION.</w:t>
      </w:r>
    </w:p>
    <w:p>
      <w:pPr>
        <w:spacing w:after="0" w:line="71"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GUARANTY, OR FOR RECOGNITION OR ENFORCEMENT OF ANY JUDGMENT, AND GUARANTOR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GUARANTOR AGREES THAT A FINAL JUDGMENT IN ANY SUCH ACTION OR PROCEEDING SHALL BE CONCLUSIVE AND MAY BE ENFORCED IN OTHER JURISDICTIONS BY SUIT ON THE JUDGMENT OR IN ANY OTHER MANNER PROVIDED BY LAW. NOTHING IN THIS GUARANTY SHALL AFFECT ANY RIGHT THAT ANY LENDER PARTY MAY OTHERWISE HAVE TO BRING ANY ACTION OR PROCEEDING RELATING TO THIS GUARANTY AGAINST GUARANTOR OR ITS PROPERTIES IN THE COURTS OF ANY JURISDICTION.</w:t>
      </w:r>
    </w:p>
    <w:p>
      <w:pPr>
        <w:sectPr>
          <w:pgSz w:w="11900" w:h="16838" w:orient="portrait"/>
          <w:cols w:equalWidth="0" w:num="1">
            <w:col w:w="10980"/>
          </w:cols>
          <w:pgMar w:left="440" w:top="270" w:right="479" w:bottom="1440" w:gutter="0" w:footer="0" w:header="0"/>
        </w:sectPr>
      </w:pPr>
    </w:p>
    <w:bookmarkStart w:id="14" w:name="page15"/>
    <w:bookmarkEnd w:id="14"/>
    <w:p>
      <w:pPr>
        <w:ind w:left="440" w:firstLine="419"/>
        <w:spacing w:after="0" w:line="256" w:lineRule="auto"/>
        <w:tabs>
          <w:tab w:leader="none" w:pos="11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 HEREBY IRREVOCABLY AND UNCONDITIONALLY WAIVES, TO THE FULLEST EXTENT IT MAY LEGALLY AND EFFECTIVELY DO SO, ANY OBJECTION WHICH IT MAY NOW OR HEREAFTER HAVE TO THE LAYING OF VENUE OF ANY SUIT, ACTION OR PROCEEDING ARISING OUT OF OR RELATING TO THIS GUARANTY IN ANY COURT REFERRED TO IN PARAGRAPH (B) OF THIS SECTION. GUARANTOR HEREBY IRREVOCABLY WAIVES, TO THE FULLEST EXTENT PERMITTED BY LAW, THE DEFENSE OF AN INCONVENIENT FORUM TO THE MAINTENANCE OF SUCH ACTION OR PROCEEDING IN ANY SUCH COURT.</w:t>
      </w:r>
    </w:p>
    <w:p>
      <w:pPr>
        <w:spacing w:after="0" w:line="79"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IRREVOCABLY CONSENTS TO SERVICE OF PROCESS BY REGISTERED MAIL, POSTAGE PREPAID, OR BY PERSONAL SERVICE WITHIN OR WITHOUT THE STATE OF NEW YORK. NOTHING IN THIS GUARANTY WILL AFFECT THE RIGHT OF ANY LENDER PARTY TO SERVE PROCESS IN ANY OTHER MANNER PERMITTED BY LAW.</w:t>
      </w:r>
    </w:p>
    <w:p>
      <w:pPr>
        <w:spacing w:after="0" w:line="176" w:lineRule="exact"/>
        <w:rPr>
          <w:sz w:val="20"/>
          <w:szCs w:val="20"/>
          <w:color w:val="auto"/>
        </w:rPr>
      </w:pPr>
    </w:p>
    <w:p>
      <w:pPr>
        <w:jc w:val="both"/>
        <w:ind w:right="6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GUARANTOR HEREBY WAIVES, TO THE FULLEST EXTENT PERMITTED BY APPLICABLE LAW, ANY RIGHT IT MAY HAVE TO A TRIAL BY JURY IN ANY LEGAL PROCEEDING DIRECTLY OR INDIRECTLY ARISING OUT OF OR RELATING TO THIS AGREEMENT (WHETHER BASED ON CONTRACT, TORT OR ANY OTHER THEORY).</w:t>
      </w:r>
    </w:p>
    <w:p>
      <w:pPr>
        <w:spacing w:after="0" w:line="158" w:lineRule="exact"/>
        <w:rPr>
          <w:sz w:val="20"/>
          <w:szCs w:val="20"/>
          <w:color w:val="auto"/>
        </w:rPr>
      </w:pPr>
    </w:p>
    <w:p>
      <w:pPr>
        <w:ind w:right="8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GUARANTY AND THE OTHER LOAN DOCUMENTS CONSTITUTE THE ENTIRE UNDERSTANDING AMONG THE PARTIES HERETO AND THERETO WITH RESPECT TO THE SUBJECT MATTER HEREOF AND SUPERSEDE ANY PRIOR AGREEMENTS, WRITTEN OR ORAL, WITH RESPECT THERETO.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BEGIN ON FOLLOWING PAGE]</w:t>
      </w:r>
    </w:p>
    <w:p>
      <w:pPr>
        <w:sectPr>
          <w:pgSz w:w="11900" w:h="16838" w:orient="portrait"/>
          <w:cols w:equalWidth="0" w:num="1">
            <w:col w:w="11000"/>
          </w:cols>
          <w:pgMar w:left="440" w:top="270" w:right="459" w:bottom="1440" w:gutter="0" w:footer="0" w:header="0"/>
        </w:sectPr>
      </w:pPr>
    </w:p>
    <w:bookmarkStart w:id="15" w:name="page16"/>
    <w:bookmarkEnd w:id="1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Guarantor has caused this Guaranty to be duly executed and delivered by its officer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APACHE CORPORATION</w:t>
      </w:r>
    </w:p>
    <w:p>
      <w:pPr>
        <w:spacing w:after="0" w:line="2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Ben C.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18415</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Ben C. Rodgers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   Apache Corporation</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   c/o APA Corporation</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   2000 Post Oak Boulevard</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   Suite 100</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   Houston, Texas 77056-4400</w:t>
      </w:r>
    </w:p>
    <w:p>
      <w:pPr>
        <w:sectPr>
          <w:pgSz w:w="11900" w:h="16838" w:orient="portrait"/>
          <w:cols w:equalWidth="0" w:num="1">
            <w:col w:w="10980"/>
          </w:cols>
          <w:pgMar w:left="440" w:top="270" w:right="479" w:bottom="1440" w:gutter="0" w:footer="0" w:header="0"/>
        </w:sectPr>
      </w:pP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Telephone:</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Ben C. Rodgers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Senior Vice President, Treasurer and</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Midstream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(713) 296-6752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(281) 302-2219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ben.rodgers@apachecorp.com</w:t>
      </w:r>
    </w:p>
    <w:p>
      <w:pPr>
        <w:spacing w:after="0" w:line="200" w:lineRule="exact"/>
        <w:rPr>
          <w:sz w:val="20"/>
          <w:szCs w:val="20"/>
          <w:color w:val="auto"/>
        </w:rPr>
      </w:pPr>
    </w:p>
    <w:p>
      <w:pPr>
        <w:sectPr>
          <w:pgSz w:w="11900" w:h="16838" w:orient="portrait"/>
          <w:cols w:equalWidth="0" w:num="2">
            <w:col w:w="7400" w:space="120"/>
            <w:col w:w="3460"/>
          </w:cols>
          <w:pgMar w:left="440" w:top="270" w:right="479" w:bottom="1440" w:gutter="0" w:footer="0" w:header="0"/>
          <w:type w:val="continuous"/>
        </w:sectPr>
      </w:pP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with a copy to: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Apache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 APA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2000 Post Oak Boulevard, Suite 100</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Houston, Texas 77056-4400</w:t>
      </w:r>
    </w:p>
    <w:tbl>
      <w:tblPr>
        <w:tblLayout w:type="fixed"/>
        <w:tblInd w:w="66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27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(713) 296-6642</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27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(713) 296-6477</w:t>
            </w:r>
          </w:p>
        </w:tc>
      </w:tr>
      <w:tr>
        <w:trPr>
          <w:trHeight w:val="194"/>
        </w:trPr>
        <w:tc>
          <w:tcPr>
            <w:tcW w:w="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2720" w:type="dxa"/>
            <w:vAlign w:val="bottom"/>
            <w:gridSpan w:val="4"/>
          </w:tcPr>
          <w:p>
            <w:pPr>
              <w:ind w:left="60"/>
              <w:spacing w:after="0" w:line="194" w:lineRule="exact"/>
              <w:rPr>
                <w:sz w:val="20"/>
                <w:szCs w:val="20"/>
                <w:color w:val="auto"/>
              </w:rPr>
            </w:pPr>
            <w:r>
              <w:rPr>
                <w:rFonts w:ascii="Times New Roman" w:cs="Times New Roman" w:eastAsia="Times New Roman" w:hAnsi="Times New Roman"/>
                <w:sz w:val="18"/>
                <w:szCs w:val="18"/>
                <w:color w:val="auto"/>
              </w:rPr>
              <w:t>   bryan.patrick@apachecorp.com</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Email:</w:t>
            </w:r>
          </w:p>
        </w:tc>
        <w:tc>
          <w:tcPr>
            <w:tcW w:w="272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color w:val="auto"/>
              </w:rPr>
              <w:t>   aneil.kochar@apachecorp.com</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Email:</w:t>
            </w:r>
          </w:p>
        </w:tc>
        <w:tc>
          <w:tcPr>
            <w:tcW w:w="272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color w:val="auto"/>
              </w:rPr>
              <w:t>   cash.mgmt@apachecorp.com</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Email:</w:t>
            </w:r>
          </w:p>
        </w:tc>
        <w:tc>
          <w:tcPr>
            <w:tcW w:w="2720" w:type="dxa"/>
            <w:vAlign w:val="bottom"/>
            <w:gridSpan w:val="4"/>
          </w:tcPr>
          <w:p>
            <w:pPr>
              <w:ind w:left="60"/>
              <w:spacing w:after="0" w:line="196" w:lineRule="exact"/>
              <w:rPr>
                <w:sz w:val="20"/>
                <w:szCs w:val="20"/>
                <w:color w:val="auto"/>
              </w:rPr>
            </w:pPr>
            <w:r>
              <w:rPr>
                <w:rFonts w:ascii="Times New Roman" w:cs="Times New Roman" w:eastAsia="Times New Roman" w:hAnsi="Times New Roman"/>
                <w:sz w:val="18"/>
                <w:szCs w:val="18"/>
                <w:color w:val="auto"/>
                <w:w w:val="98"/>
              </w:rPr>
              <w:t>   creditagreement@apachecorp.com</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and with copy to: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Apache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 APA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2000 Post Oak Boulevard, Suite 100</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Houston, Texas 77056-4400</w:t>
      </w:r>
    </w:p>
    <w:tbl>
      <w:tblPr>
        <w:tblLayout w:type="fixed"/>
        <w:tblInd w:w="662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Telephone:</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(713) 296-6204</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Facsimile:</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(713) 296-6458</w:t>
            </w:r>
          </w:p>
        </w:tc>
      </w:tr>
      <w:tr>
        <w:trPr>
          <w:trHeight w:val="194"/>
        </w:trPr>
        <w:tc>
          <w:tcPr>
            <w:tcW w:w="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Email:</w:t>
            </w:r>
          </w:p>
        </w:tc>
        <w:tc>
          <w:tcPr>
            <w:tcW w:w="260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w w:val="97"/>
              </w:rPr>
              <w:t>   anthony.lannie@apachecorp.com</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GUARANTY – SENIOR TERM LOAN CREDIT FACILITY]</w:t>
      </w:r>
    </w:p>
    <w:p>
      <w:pPr>
        <w:sectPr>
          <w:pgSz w:w="11900" w:h="16838" w:orient="portrait"/>
          <w:cols w:equalWidth="0" w:num="1">
            <w:col w:w="10980"/>
          </w:cols>
          <w:pgMar w:left="440" w:top="270" w:right="47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414020</wp:posOffset>
            </wp:positionV>
            <wp:extent cx="1628775"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87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January 30, 2024,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APA CORPORATION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2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GOLDMAN SACHS BANK USA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HSBC BANK USA,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MUFG BANK, LTD.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THE TORONTO-DOMINION BANK, NEW YORK BRANCH</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TRUIST BANK</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Co-Documentation Agents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9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Co-Lead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w w:val="98"/>
              </w:rPr>
              <w:t>ARTICLE I Definitions</w:t>
            </w:r>
          </w:p>
        </w:tc>
        <w:tc>
          <w:tcPr>
            <w:tcW w:w="6680" w:type="dxa"/>
            <w:vAlign w:val="bottom"/>
          </w:tcPr>
          <w:p>
            <w:pPr>
              <w:spacing w:after="0"/>
              <w:rPr>
                <w:sz w:val="24"/>
                <w:szCs w:val="24"/>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    SECTION 1.1</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Defined Terms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1.2</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1.3</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Terms Generally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1.4</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Accounting Terms; GAAP</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1.5</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1.6</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Rates; Benchmark Notification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Facility;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2.2</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2.3</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Requests for Borrowings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2.4</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2.5</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Funding of Borrowings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2.6</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2.7</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 Elections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2.8</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2.9</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2.10</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Optional Prepayment of Loans; Other Required Prepayments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2.11</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2.12</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2.13</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2.14</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Increased Costs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2.15</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Break Funding 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2.16</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2.17</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2.18</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2.19</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2.20</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Defaulting Lenders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2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3.1</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3.2</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Authorization and Validity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3.3</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Approval and Regulation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3.4</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Pension and Welfare Plans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3.5</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Regulation U</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3.6</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3.7</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Restricted Subsidiaries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3.8</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 Default or Event of Default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3.9</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0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SECTION 4.1</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Date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4.2</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 Date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0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5.1</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Reporting and 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5.2</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5.3</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5.4</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5.5</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Books and Records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5.6</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5.7</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Target Guaranty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Financial Covenant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6.1</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Ratio of Total Debt to Capital</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7.1</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Liens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7.2</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7.3</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Dispositions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7.4</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7.5</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Restrictive Agreements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7.6</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8.1</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 of Events of Default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8.2</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 prior to Closing Date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8.3</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 after Closing Date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8.4</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Application of Payments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ARTICLE IX Agents</w:t>
            </w:r>
          </w:p>
        </w:tc>
        <w:tc>
          <w:tcPr>
            <w:tcW w:w="662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9.1</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and Action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9.2</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Agent’s Reliance, Indemnification, Etc.</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9.3</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Posting of Communications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9.4</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Administrative Agent Individually</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9.5</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9.6</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Acknowledgements of Lenders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9.7</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ERISA Matters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0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10.2</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Waivers; Amendments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10.3</w:t>
            </w:r>
          </w:p>
        </w:tc>
        <w:tc>
          <w:tcPr>
            <w:tcW w:w="6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SECTION 10.4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Setoff</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10.9</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10.10</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 OF JURY TRIAL</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10.11</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10.12</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10.13</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10.14</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10.15</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USA PATRIOT Act Notice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10.16</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FIDUCIARY DUTY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10.17</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Acknowledgement and Consent to Bail-In of EEA Financial Institutions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SECTION 10.18</w:t>
            </w:r>
          </w:p>
        </w:tc>
        <w:tc>
          <w:tcPr>
            <w:tcW w:w="7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ORAL AGREEMENTS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04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color w:val="auto"/>
                <w:w w:val="99"/>
              </w:rPr>
              <w:t>SCHEDULES AND EXHIBITS</w:t>
            </w:r>
          </w:p>
        </w:tc>
      </w:tr>
      <w:tr>
        <w:trPr>
          <w:trHeight w:val="412"/>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314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r>
      <w:tr>
        <w:trPr>
          <w:trHeight w:val="479"/>
        </w:trPr>
        <w:tc>
          <w:tcPr>
            <w:tcW w:w="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340" w:type="dxa"/>
            <w:vAlign w:val="bottom"/>
            <w:gridSpan w:val="2"/>
          </w:tcPr>
          <w:p>
            <w:pPr>
              <w:spacing w:after="0"/>
              <w:rPr>
                <w:sz w:val="24"/>
                <w:szCs w:val="24"/>
                <w:color w:val="auto"/>
              </w:rPr>
            </w:pP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Borrowing/Interest Election Request</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H-1</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H-2</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Guaranty – Apache</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H-3</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Guaranty – Target</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K-1</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Tax Certificate (For Non-U.S. Lenders that are not Partnerships for U.S. Federal Income Tax Purposes)</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K-2</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Tax Certificate (For Non-U.S. Lenders that are Partnerships for U.S. Federal Income Tax Purposes)</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K-3</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U.S. Tax Certificate (For Non-U.S. Participants that are not Partnerships for U.S. Federal Income Tax Purposes)</w:t>
            </w:r>
          </w:p>
        </w:tc>
      </w:tr>
      <w:tr>
        <w:trPr>
          <w:trHeight w:val="32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K-4</w:t>
            </w:r>
          </w:p>
        </w:tc>
        <w:tc>
          <w:tcPr>
            <w:tcW w:w="8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Tax Certificate (For Non-U.S. Participants that are Partnerships for U.S. Federal Income Tax Purposes)</w:t>
            </w:r>
          </w:p>
        </w:tc>
      </w:tr>
      <w:tr>
        <w:trPr>
          <w:trHeight w:val="391"/>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61"/>
        </w:trPr>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Schedule 2.1</w:t>
            </w:r>
          </w:p>
        </w:tc>
        <w:tc>
          <w:tcPr>
            <w:tcW w:w="120" w:type="dxa"/>
            <w:vAlign w:val="bottom"/>
          </w:tcPr>
          <w:p>
            <w:pPr>
              <w:spacing w:after="0"/>
              <w:rPr>
                <w:sz w:val="24"/>
                <w:szCs w:val="24"/>
                <w:color w:val="auto"/>
              </w:rPr>
            </w:pPr>
          </w:p>
        </w:tc>
        <w:tc>
          <w:tcPr>
            <w:tcW w:w="8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3.7</w:t>
            </w:r>
          </w:p>
        </w:tc>
        <w:tc>
          <w:tcPr>
            <w:tcW w:w="8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Subsidiaries; Restricted Subsidiaries</w:t>
            </w:r>
          </w:p>
        </w:tc>
      </w:t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7.1</w:t>
            </w:r>
          </w:p>
        </w:tc>
        <w:tc>
          <w:tcPr>
            <w:tcW w:w="8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Liens</w:t>
            </w:r>
          </w:p>
        </w:tc>
      </w:tr>
      <w:tr>
        <w:trPr>
          <w:trHeight w:val="365"/>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04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color w:val="auto"/>
                <w:w w:val="99"/>
              </w:rPr>
              <w:t>iv</w:t>
            </w:r>
          </w:p>
        </w:tc>
      </w:tr>
    </w:tbl>
    <w:p>
      <w:pPr>
        <w:jc w:val="center"/>
        <w:ind w:right="270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1" w:lineRule="exact"/>
        <w:rPr>
          <w:sz w:val="20"/>
          <w:szCs w:val="20"/>
          <w:color w:val="auto"/>
        </w:rPr>
      </w:pPr>
    </w:p>
    <w:p>
      <w:pPr>
        <w:ind w:right="340" w:firstLine="440"/>
        <w:spacing w:after="0" w:line="274" w:lineRule="auto"/>
        <w:rPr>
          <w:sz w:val="20"/>
          <w:szCs w:val="20"/>
          <w:color w:val="auto"/>
        </w:rPr>
      </w:pPr>
      <w:r>
        <w:rPr>
          <w:rFonts w:ascii="Times New Roman" w:cs="Times New Roman" w:eastAsia="Times New Roman" w:hAnsi="Times New Roman"/>
          <w:sz w:val="17"/>
          <w:szCs w:val="17"/>
          <w:color w:val="auto"/>
        </w:rPr>
        <w:t>THIS CREDIT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xml:space="preserve">”), dated as of January 30, 2024, is among </w:t>
      </w:r>
      <w:r>
        <w:rPr>
          <w:rFonts w:ascii="Times New Roman" w:cs="Times New Roman" w:eastAsia="Times New Roman" w:hAnsi="Times New Roman"/>
          <w:sz w:val="17"/>
          <w:szCs w:val="17"/>
          <w:b w:val="1"/>
          <w:bCs w:val="1"/>
          <w:color w:val="auto"/>
        </w:rPr>
        <w:t>APA CORPORATION</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u w:val="single" w:color="auto"/>
          <w:color w:val="auto"/>
        </w:rPr>
        <w:t>APA</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xml:space="preserve"> (as defined below) party hereto, </w:t>
      </w:r>
      <w:r>
        <w:rPr>
          <w:rFonts w:ascii="Times New Roman" w:cs="Times New Roman" w:eastAsia="Times New Roman" w:hAnsi="Times New Roman"/>
          <w:sz w:val="17"/>
          <w:szCs w:val="17"/>
          <w:b w:val="1"/>
          <w:bCs w:val="1"/>
          <w:color w:val="auto"/>
        </w:rPr>
        <w:t>JPMORGAN CHASE BANK, N.A.</w:t>
      </w:r>
      <w:r>
        <w:rPr>
          <w:rFonts w:ascii="Times New Roman" w:cs="Times New Roman" w:eastAsia="Times New Roman" w:hAnsi="Times New Roman"/>
          <w:sz w:val="17"/>
          <w:szCs w:val="17"/>
          <w:color w:val="auto"/>
        </w:rPr>
        <w:t xml:space="preserve">, as Administrative Agent, </w:t>
      </w:r>
      <w:r>
        <w:rPr>
          <w:rFonts w:ascii="Times New Roman" w:cs="Times New Roman" w:eastAsia="Times New Roman" w:hAnsi="Times New Roman"/>
          <w:sz w:val="17"/>
          <w:szCs w:val="17"/>
          <w:b w:val="1"/>
          <w:bCs w:val="1"/>
          <w:color w:val="auto"/>
        </w:rPr>
        <w:t xml:space="preserve">CITIBANK, N.A.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WELLS FARGO BANK, NATIONAL ASSOCIATION</w:t>
      </w:r>
      <w:r>
        <w:rPr>
          <w:rFonts w:ascii="Times New Roman" w:cs="Times New Roman" w:eastAsia="Times New Roman" w:hAnsi="Times New Roman"/>
          <w:sz w:val="17"/>
          <w:szCs w:val="17"/>
          <w:color w:val="auto"/>
        </w:rPr>
        <w:t>, as Co-Syndication Agents, and</w:t>
      </w:r>
      <w:r>
        <w:rPr>
          <w:rFonts w:ascii="Times New Roman" w:cs="Times New Roman" w:eastAsia="Times New Roman" w:hAnsi="Times New Roman"/>
          <w:sz w:val="17"/>
          <w:szCs w:val="17"/>
          <w:b w:val="1"/>
          <w:bCs w:val="1"/>
          <w:color w:val="auto"/>
        </w:rPr>
        <w:t xml:space="preserve"> BANK OF AMERICA, N.A.,</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GOLDMAN SACHS BANK USA, HSBC BANK USA, N.A., MIZUHO BANK, LTD., MUFG BANK, LTD., THE TORONTO-DOMINION BANK, NEW YORK BRANCH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TRUIST BANK, </w:t>
      </w:r>
      <w:r>
        <w:rPr>
          <w:rFonts w:ascii="Times New Roman" w:cs="Times New Roman" w:eastAsia="Times New Roman" w:hAnsi="Times New Roman"/>
          <w:sz w:val="18"/>
          <w:szCs w:val="18"/>
          <w:color w:val="auto"/>
        </w:rPr>
        <w:t>as Co-Documentation Agents.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Borrower, Lenders, the Administrative Agent, and the other Agents party hereto hereby agree as follows: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Tranche Commitment</w:t>
      </w:r>
      <w:r>
        <w:rPr>
          <w:rFonts w:ascii="Times New Roman" w:cs="Times New Roman" w:eastAsia="Times New Roman" w:hAnsi="Times New Roman"/>
          <w:sz w:val="18"/>
          <w:szCs w:val="18"/>
          <w:color w:val="auto"/>
        </w:rPr>
        <w:t xml:space="preserve">” means, as to each 3-Year Tranche Lender, its commitment to make 3-Year Tranche Loans to the Borrower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an aggregate principal amount at any time outstanding not to exceed the amount set forth opposite such 3-Year Tranche Lender’s name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as such commitment may be reduced or adjusted in accordance with this Agreement. The initial amount of each 3-Year Tranche Lender’s 3-Year Tranche Commitment is set forth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or in the Assignment and Assumption pursuant to which such 3-Year Tranche Lender shall have assumed its 3-Year Tranche Commitment, as applicable. As of the date hereof, the aggregate amount of 3-Year Tranche Commitments is $1,500,000,000.</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3-Year Tranche Lender</w:t>
      </w:r>
      <w:r>
        <w:rPr>
          <w:rFonts w:ascii="Times New Roman" w:cs="Times New Roman" w:eastAsia="Times New Roman" w:hAnsi="Times New Roman"/>
          <w:sz w:val="18"/>
          <w:szCs w:val="18"/>
          <w:color w:val="auto"/>
        </w:rPr>
        <w:t>” means, as of any date of determination, a Lender having a 3-Year Tranche Commitment or holding a 3-Year Tranche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3-Year Tranche Loans</w:t>
      </w:r>
      <w:r>
        <w:rPr>
          <w:rFonts w:ascii="Times New Roman" w:cs="Times New Roman" w:eastAsia="Times New Roman" w:hAnsi="Times New Roman"/>
          <w:sz w:val="17"/>
          <w:szCs w:val="17"/>
          <w:color w:val="auto"/>
        </w:rPr>
        <w:t>” means Loans made by the 3-Year Tranche Lenders under the 3-Year Tranche Commitments pursuant to this Agreement.</w:t>
      </w:r>
    </w:p>
    <w:p>
      <w:pPr>
        <w:spacing w:after="0" w:line="237" w:lineRule="exact"/>
        <w:rPr>
          <w:sz w:val="20"/>
          <w:szCs w:val="20"/>
          <w:color w:val="auto"/>
        </w:rPr>
      </w:pPr>
    </w:p>
    <w:p>
      <w:pPr>
        <w:ind w:right="1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364-Day Tranche Commitment</w:t>
      </w:r>
      <w:r>
        <w:rPr>
          <w:rFonts w:ascii="Times New Roman" w:cs="Times New Roman" w:eastAsia="Times New Roman" w:hAnsi="Times New Roman"/>
          <w:sz w:val="17"/>
          <w:szCs w:val="17"/>
          <w:color w:val="auto"/>
        </w:rPr>
        <w:t xml:space="preserve">” means, as to each 364-Day Tranche Lender, its commitment to make 364-Day Tranche Loans to the Borrower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in an aggregate principal amount at any time outstanding not to exceed the amount set forth opposite such 364-Day Tranche Lender’s name on </w:t>
      </w:r>
      <w:r>
        <w:rPr>
          <w:rFonts w:ascii="Times New Roman" w:cs="Times New Roman" w:eastAsia="Times New Roman" w:hAnsi="Times New Roman"/>
          <w:sz w:val="17"/>
          <w:szCs w:val="17"/>
          <w:u w:val="single" w:color="auto"/>
          <w:color w:val="auto"/>
        </w:rPr>
        <w:t>Schedule 2.1</w:t>
      </w:r>
      <w:r>
        <w:rPr>
          <w:rFonts w:ascii="Times New Roman" w:cs="Times New Roman" w:eastAsia="Times New Roman" w:hAnsi="Times New Roman"/>
          <w:sz w:val="17"/>
          <w:szCs w:val="17"/>
          <w:color w:val="auto"/>
        </w:rPr>
        <w:t>, as such commitment may be reduced or adjusted in accordance with this Agreement. The initial amount of each</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364-Day Tranche Lender’s 364-Day Tranche Commitment is set forth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or in the Assignment and Assumption pursuant to which such 364-Day Tranche Lender shall have assumed its 364-Day Tranche Commitment, as applicable. As of the date hereof, the aggregate amount of 364-Day Tranche Commitments is $500,000,000.</w:t>
      </w:r>
    </w:p>
    <w:p>
      <w:pPr>
        <w:spacing w:after="0" w:line="18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364-Day Tranche Lender</w:t>
      </w:r>
      <w:r>
        <w:rPr>
          <w:rFonts w:ascii="Times New Roman" w:cs="Times New Roman" w:eastAsia="Times New Roman" w:hAnsi="Times New Roman"/>
          <w:sz w:val="18"/>
          <w:szCs w:val="18"/>
          <w:color w:val="auto"/>
        </w:rPr>
        <w:t>” means, as of any date of determination, a Lender having a 364-Day Tranche Commitment or holding a 364-Day Tranche Loan.</w:t>
      </w:r>
    </w:p>
    <w:p>
      <w:pPr>
        <w:sectPr>
          <w:pgSz w:w="11900" w:h="16838" w:orient="portrait"/>
          <w:cols w:equalWidth="0" w:num="1">
            <w:col w:w="10920"/>
          </w:cols>
          <w:pgMar w:left="440" w:top="270" w:right="539" w:bottom="1440" w:gutter="0" w:footer="0" w:header="0"/>
        </w:sectPr>
      </w:pPr>
    </w:p>
    <w:bookmarkStart w:id="22" w:name="page23"/>
    <w:bookmarkEnd w:id="22"/>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364-Day Tranche Loans</w:t>
      </w:r>
      <w:r>
        <w:rPr>
          <w:rFonts w:ascii="Times New Roman" w:cs="Times New Roman" w:eastAsia="Times New Roman" w:hAnsi="Times New Roman"/>
          <w:sz w:val="18"/>
          <w:szCs w:val="18"/>
          <w:color w:val="auto"/>
        </w:rPr>
        <w:t>” means Loans made by the 364-Day Tranche Lenders under the 364-Day Tranche Commitments pursuant to this Agreement.</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Rate Margin</w:t>
      </w:r>
      <w:r>
        <w:rPr>
          <w:rFonts w:ascii="Times New Roman" w:cs="Times New Roman" w:eastAsia="Times New Roman" w:hAnsi="Times New Roman"/>
          <w:sz w:val="18"/>
          <w:szCs w:val="18"/>
          <w:color w:val="auto"/>
        </w:rPr>
        <w:t>” means, for any day, for each Class of Loans, the applicable rate per annum set forth below for such Class of Loans based upon the Applicable Rating Level applicable on such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20" w:type="dxa"/>
            <w:vAlign w:val="bottom"/>
            <w:gridSpan w:val="10"/>
          </w:tcPr>
          <w:p>
            <w:pPr>
              <w:jc w:val="center"/>
              <w:ind w:right="920"/>
              <w:spacing w:after="0"/>
              <w:rPr>
                <w:sz w:val="20"/>
                <w:szCs w:val="20"/>
                <w:color w:val="auto"/>
              </w:rPr>
            </w:pPr>
            <w:r>
              <w:rPr>
                <w:rFonts w:ascii="Times New Roman" w:cs="Times New Roman" w:eastAsia="Times New Roman" w:hAnsi="Times New Roman"/>
                <w:sz w:val="14"/>
                <w:szCs w:val="14"/>
                <w:color w:val="auto"/>
              </w:rPr>
              <w:t>364-Day Tranche</w:t>
            </w: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9"/>
              </w:rPr>
              <w:t>Loans</w:t>
            </w:r>
          </w:p>
        </w:tc>
        <w:tc>
          <w:tcPr>
            <w:tcW w:w="2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1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auto"/>
              </w:rPr>
              <w:t>ABR</w:t>
            </w:r>
          </w:p>
        </w:tc>
        <w:tc>
          <w:tcPr>
            <w:tcW w:w="34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Rate</w:t>
            </w:r>
          </w:p>
        </w:tc>
        <w:tc>
          <w:tcPr>
            <w:tcW w:w="126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auto"/>
              </w:rPr>
              <w:t>Margin</w:t>
            </w:r>
          </w:p>
        </w:tc>
        <w:tc>
          <w:tcPr>
            <w:tcW w:w="1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color w:val="auto"/>
              </w:rPr>
              <w:t>3-Year Tranche Loans</w:t>
            </w:r>
          </w:p>
        </w:tc>
        <w:tc>
          <w:tcPr>
            <w:tcW w:w="0" w:type="dxa"/>
            <w:vAlign w:val="bottom"/>
          </w:tcPr>
          <w:p>
            <w:pPr>
              <w:spacing w:after="0"/>
              <w:rPr>
                <w:sz w:val="1"/>
                <w:szCs w:val="1"/>
                <w:color w:val="auto"/>
              </w:rPr>
            </w:pPr>
          </w:p>
        </w:tc>
      </w:tr>
      <w:tr>
        <w:trPr>
          <w:trHeight w:val="169"/>
        </w:trPr>
        <w:tc>
          <w:tcPr>
            <w:tcW w:w="278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Applicable Rating Level</w:t>
            </w:r>
          </w:p>
        </w:tc>
        <w:tc>
          <w:tcPr>
            <w:tcW w:w="7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8"/>
          </w:tcPr>
          <w:p>
            <w:pPr>
              <w:jc w:val="center"/>
              <w:ind w:right="20"/>
              <w:spacing w:after="0" w:line="129" w:lineRule="exact"/>
              <w:rPr>
                <w:sz w:val="20"/>
                <w:szCs w:val="20"/>
                <w:color w:val="auto"/>
              </w:rPr>
            </w:pPr>
            <w:r>
              <w:rPr>
                <w:rFonts w:ascii="Times New Roman" w:cs="Times New Roman" w:eastAsia="Times New Roman" w:hAnsi="Times New Roman"/>
                <w:sz w:val="14"/>
                <w:szCs w:val="14"/>
                <w:color w:val="auto"/>
              </w:rPr>
              <w:t>(in basis points)</w:t>
            </w:r>
          </w:p>
        </w:tc>
        <w:tc>
          <w:tcPr>
            <w:tcW w:w="900" w:type="dxa"/>
            <w:vAlign w:val="bottom"/>
            <w:gridSpan w:val="2"/>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ABR</w:t>
            </w:r>
          </w:p>
        </w:tc>
        <w:tc>
          <w:tcPr>
            <w:tcW w:w="1280" w:type="dxa"/>
            <w:vAlign w:val="bottom"/>
            <w:tcBorders>
              <w:top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color w:val="auto"/>
              </w:rPr>
              <w:t>Rate Margin (in basis</w:t>
            </w:r>
          </w:p>
        </w:tc>
        <w:tc>
          <w:tcPr>
            <w:tcW w:w="21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points)</w:t>
            </w:r>
          </w:p>
        </w:tc>
        <w:tc>
          <w:tcPr>
            <w:tcW w:w="0" w:type="dxa"/>
            <w:vAlign w:val="bottom"/>
          </w:tcPr>
          <w:p>
            <w:pPr>
              <w:spacing w:after="0"/>
              <w:rPr>
                <w:sz w:val="1"/>
                <w:szCs w:val="1"/>
                <w:color w:val="auto"/>
              </w:rPr>
            </w:pPr>
          </w:p>
        </w:tc>
      </w:tr>
      <w:tr>
        <w:trPr>
          <w:trHeight w:val="106"/>
        </w:trPr>
        <w:tc>
          <w:tcPr>
            <w:tcW w:w="1420" w:type="dxa"/>
            <w:vAlign w:val="bottom"/>
            <w:tcBorders>
              <w:top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100" w:type="dxa"/>
            <w:vAlign w:val="bottom"/>
            <w:tcBorders>
              <w:top w:val="single" w:sz="8" w:color="auto"/>
            </w:tcBorders>
            <w:gridSpan w:val="2"/>
          </w:tcPr>
          <w:p>
            <w:pPr>
              <w:jc w:val="center"/>
              <w:ind w:left="580"/>
              <w:spacing w:after="0" w:line="106" w:lineRule="exact"/>
              <w:rPr>
                <w:sz w:val="20"/>
                <w:szCs w:val="20"/>
                <w:color w:val="auto"/>
              </w:rPr>
            </w:pPr>
            <w:r>
              <w:rPr>
                <w:rFonts w:ascii="Times New Roman" w:cs="Times New Roman" w:eastAsia="Times New Roman" w:hAnsi="Times New Roman"/>
                <w:sz w:val="12"/>
                <w:szCs w:val="12"/>
                <w:color w:val="auto"/>
              </w:rPr>
              <w:t>From the Closing</w:t>
            </w: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120" w:type="dxa"/>
            <w:vAlign w:val="bottom"/>
            <w:tcBorders>
              <w:top w:val="single" w:sz="8" w:color="auto"/>
            </w:tcBorders>
            <w:gridSpan w:val="2"/>
            <w:vMerge w:val="restart"/>
          </w:tcPr>
          <w:p>
            <w:pPr>
              <w:jc w:val="center"/>
              <w:ind w:right="455"/>
              <w:spacing w:after="0"/>
              <w:rPr>
                <w:sz w:val="20"/>
                <w:szCs w:val="20"/>
                <w:color w:val="auto"/>
              </w:rPr>
            </w:pPr>
            <w:r>
              <w:rPr>
                <w:rFonts w:ascii="Times New Roman" w:cs="Times New Roman" w:eastAsia="Times New Roman" w:hAnsi="Times New Roman"/>
                <w:sz w:val="14"/>
                <w:szCs w:val="14"/>
                <w:color w:val="auto"/>
              </w:rPr>
              <w:t>After the date that is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ind w:left="560"/>
              <w:spacing w:after="0" w:line="149" w:lineRule="exact"/>
              <w:rPr>
                <w:sz w:val="20"/>
                <w:szCs w:val="20"/>
                <w:color w:val="auto"/>
              </w:rPr>
            </w:pPr>
            <w:r>
              <w:rPr>
                <w:rFonts w:ascii="Times New Roman" w:cs="Times New Roman" w:eastAsia="Times New Roman" w:hAnsi="Times New Roman"/>
                <w:sz w:val="14"/>
                <w:szCs w:val="14"/>
                <w:color w:val="auto"/>
              </w:rPr>
              <w:t>Date until the date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ind w:left="580"/>
              <w:spacing w:after="0" w:line="149" w:lineRule="exact"/>
              <w:rPr>
                <w:sz w:val="20"/>
                <w:szCs w:val="20"/>
                <w:color w:val="auto"/>
              </w:rPr>
            </w:pPr>
            <w:r>
              <w:rPr>
                <w:rFonts w:ascii="Times New Roman" w:cs="Times New Roman" w:eastAsia="Times New Roman" w:hAnsi="Times New Roman"/>
                <w:sz w:val="14"/>
                <w:szCs w:val="14"/>
                <w:color w:val="auto"/>
              </w:rPr>
              <w:t>that is the second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jc w:val="center"/>
              <w:ind w:right="795"/>
              <w:spacing w:after="0" w:line="149" w:lineRule="exact"/>
              <w:rPr>
                <w:sz w:val="20"/>
                <w:szCs w:val="20"/>
                <w:color w:val="auto"/>
              </w:rPr>
            </w:pPr>
            <w:r>
              <w:rPr>
                <w:rFonts w:ascii="Times New Roman" w:cs="Times New Roman" w:eastAsia="Times New Roman" w:hAnsi="Times New Roman"/>
                <w:sz w:val="14"/>
                <w:szCs w:val="14"/>
                <w:color w:val="auto"/>
              </w:rPr>
              <w:t>the second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2"/>
          </w:tcPr>
          <w:p>
            <w:pPr>
              <w:jc w:val="center"/>
              <w:ind w:left="580"/>
              <w:spacing w:after="0" w:line="149" w:lineRule="exact"/>
              <w:rPr>
                <w:sz w:val="20"/>
                <w:szCs w:val="20"/>
                <w:color w:val="auto"/>
              </w:rPr>
            </w:pPr>
            <w:r>
              <w:rPr>
                <w:rFonts w:ascii="Times New Roman" w:cs="Times New Roman" w:eastAsia="Times New Roman" w:hAnsi="Times New Roman"/>
                <w:sz w:val="14"/>
                <w:szCs w:val="14"/>
                <w:color w:val="auto"/>
              </w:rPr>
              <w:t>anniversary of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gridSpan w:val="2"/>
          </w:tcPr>
          <w:p>
            <w:pPr>
              <w:jc w:val="center"/>
              <w:ind w:right="435"/>
              <w:spacing w:after="0" w:line="149" w:lineRule="exact"/>
              <w:rPr>
                <w:sz w:val="20"/>
                <w:szCs w:val="20"/>
                <w:color w:val="auto"/>
              </w:rPr>
            </w:pPr>
            <w:r>
              <w:rPr>
                <w:rFonts w:ascii="Times New Roman" w:cs="Times New Roman" w:eastAsia="Times New Roman" w:hAnsi="Times New Roman"/>
                <w:sz w:val="14"/>
                <w:szCs w:val="14"/>
                <w:color w:val="auto"/>
              </w:rPr>
              <w:t>anniversary of the</w:t>
            </w:r>
          </w:p>
        </w:tc>
        <w:tc>
          <w:tcPr>
            <w:tcW w:w="0" w:type="dxa"/>
            <w:vAlign w:val="bottom"/>
          </w:tcPr>
          <w:p>
            <w:pPr>
              <w:spacing w:after="0"/>
              <w:rPr>
                <w:sz w:val="1"/>
                <w:szCs w:val="1"/>
                <w:color w:val="auto"/>
              </w:rPr>
            </w:pPr>
          </w:p>
        </w:tc>
      </w:tr>
      <w:tr>
        <w:trPr>
          <w:trHeight w:val="185"/>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Level I</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gridSpan w:val="9"/>
            <w:vMerge w:val="restart"/>
          </w:tcPr>
          <w:p>
            <w:pPr>
              <w:jc w:val="center"/>
              <w:ind w:right="980"/>
              <w:spacing w:after="0"/>
              <w:rPr>
                <w:sz w:val="20"/>
                <w:szCs w:val="20"/>
                <w:color w:val="auto"/>
              </w:rPr>
            </w:pPr>
            <w:r>
              <w:rPr>
                <w:rFonts w:ascii="Times New Roman" w:cs="Times New Roman" w:eastAsia="Times New Roman" w:hAnsi="Times New Roman"/>
                <w:sz w:val="18"/>
                <w:szCs w:val="18"/>
                <w:color w:val="auto"/>
              </w:rPr>
              <w:t>25.0 bps</w:t>
            </w:r>
          </w:p>
        </w:tc>
        <w:tc>
          <w:tcPr>
            <w:tcW w:w="2100" w:type="dxa"/>
            <w:vAlign w:val="bottom"/>
            <w:tcBorders>
              <w:bottom w:val="single" w:sz="8" w:color="auto"/>
            </w:tcBorders>
            <w:gridSpan w:val="2"/>
          </w:tcPr>
          <w:p>
            <w:pPr>
              <w:jc w:val="center"/>
              <w:ind w:left="580"/>
              <w:spacing w:after="0"/>
              <w:rPr>
                <w:sz w:val="20"/>
                <w:szCs w:val="20"/>
                <w:color w:val="auto"/>
              </w:rPr>
            </w:pPr>
            <w:r>
              <w:rPr>
                <w:rFonts w:ascii="Times New Roman" w:cs="Times New Roman" w:eastAsia="Times New Roman" w:hAnsi="Times New Roman"/>
                <w:sz w:val="14"/>
                <w:szCs w:val="14"/>
                <w:color w:val="auto"/>
              </w:rPr>
              <w:t>Closing Date</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4"/>
                <w:szCs w:val="14"/>
                <w:color w:val="auto"/>
              </w:rPr>
              <w:t>Closing Date</w:t>
            </w:r>
          </w:p>
        </w:tc>
        <w:tc>
          <w:tcPr>
            <w:tcW w:w="0" w:type="dxa"/>
            <w:vAlign w:val="bottom"/>
          </w:tcPr>
          <w:p>
            <w:pPr>
              <w:spacing w:after="0"/>
              <w:rPr>
                <w:sz w:val="1"/>
                <w:szCs w:val="1"/>
                <w:color w:val="auto"/>
              </w:rPr>
            </w:pPr>
          </w:p>
        </w:tc>
      </w:tr>
      <w:tr>
        <w:trPr>
          <w:trHeight w:val="191"/>
        </w:trPr>
        <w:tc>
          <w:tcPr>
            <w:tcW w:w="278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gridSpan w:val="9"/>
            <w:vMerge w:val="continue"/>
          </w:tcPr>
          <w:p>
            <w:pPr>
              <w:spacing w:after="0"/>
              <w:rPr>
                <w:sz w:val="16"/>
                <w:szCs w:val="16"/>
                <w:color w:val="auto"/>
              </w:rPr>
            </w:pPr>
          </w:p>
        </w:tc>
        <w:tc>
          <w:tcPr>
            <w:tcW w:w="2100" w:type="dxa"/>
            <w:vAlign w:val="bottom"/>
            <w:gridSpan w:val="2"/>
          </w:tcPr>
          <w:p>
            <w:pPr>
              <w:jc w:val="center"/>
              <w:ind w:left="560"/>
              <w:spacing w:after="0" w:line="191" w:lineRule="exact"/>
              <w:rPr>
                <w:sz w:val="20"/>
                <w:szCs w:val="20"/>
                <w:color w:val="auto"/>
              </w:rPr>
            </w:pPr>
            <w:r>
              <w:rPr>
                <w:rFonts w:ascii="Times New Roman" w:cs="Times New Roman" w:eastAsia="Times New Roman" w:hAnsi="Times New Roman"/>
                <w:sz w:val="18"/>
                <w:szCs w:val="18"/>
                <w:color w:val="auto"/>
              </w:rPr>
              <w:t>37.5 bps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jc w:val="center"/>
              <w:ind w:right="795"/>
              <w:spacing w:after="0" w:line="191" w:lineRule="exact"/>
              <w:rPr>
                <w:sz w:val="20"/>
                <w:szCs w:val="20"/>
                <w:color w:val="auto"/>
              </w:rPr>
            </w:pPr>
            <w:r>
              <w:rPr>
                <w:rFonts w:ascii="Times New Roman" w:cs="Times New Roman" w:eastAsia="Times New Roman" w:hAnsi="Times New Roman"/>
                <w:sz w:val="18"/>
                <w:szCs w:val="18"/>
                <w:color w:val="auto"/>
                <w:w w:val="98"/>
              </w:rPr>
              <w:t>62.5 bps</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II</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9"/>
          </w:tcPr>
          <w:p>
            <w:pPr>
              <w:jc w:val="center"/>
              <w:ind w:right="980"/>
              <w:spacing w:after="0"/>
              <w:rPr>
                <w:sz w:val="20"/>
                <w:szCs w:val="20"/>
                <w:color w:val="auto"/>
              </w:rPr>
            </w:pPr>
            <w:r>
              <w:rPr>
                <w:rFonts w:ascii="Times New Roman" w:cs="Times New Roman" w:eastAsia="Times New Roman" w:hAnsi="Times New Roman"/>
                <w:sz w:val="18"/>
                <w:szCs w:val="18"/>
                <w:color w:val="auto"/>
              </w:rPr>
              <w:t>37.5 bps</w:t>
            </w:r>
          </w:p>
        </w:tc>
        <w:tc>
          <w:tcPr>
            <w:tcW w:w="2100" w:type="dxa"/>
            <w:vAlign w:val="bottom"/>
            <w:gridSpan w:val="2"/>
          </w:tcPr>
          <w:p>
            <w:pPr>
              <w:jc w:val="center"/>
              <w:ind w:left="560"/>
              <w:spacing w:after="0"/>
              <w:rPr>
                <w:sz w:val="20"/>
                <w:szCs w:val="20"/>
                <w:color w:val="auto"/>
              </w:rPr>
            </w:pPr>
            <w:r>
              <w:rPr>
                <w:rFonts w:ascii="Times New Roman" w:cs="Times New Roman" w:eastAsia="Times New Roman" w:hAnsi="Times New Roman"/>
                <w:sz w:val="18"/>
                <w:szCs w:val="18"/>
                <w:color w:val="auto"/>
              </w:rPr>
              <w:t>50.0 bps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center"/>
              <w:ind w:right="795"/>
              <w:spacing w:after="0"/>
              <w:rPr>
                <w:sz w:val="20"/>
                <w:szCs w:val="20"/>
                <w:color w:val="auto"/>
              </w:rPr>
            </w:pPr>
            <w:r>
              <w:rPr>
                <w:rFonts w:ascii="Times New Roman" w:cs="Times New Roman" w:eastAsia="Times New Roman" w:hAnsi="Times New Roman"/>
                <w:sz w:val="18"/>
                <w:szCs w:val="18"/>
                <w:color w:val="auto"/>
                <w:w w:val="98"/>
              </w:rPr>
              <w:t>75.0 bps</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III</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9"/>
          </w:tcPr>
          <w:p>
            <w:pPr>
              <w:jc w:val="center"/>
              <w:ind w:right="980"/>
              <w:spacing w:after="0"/>
              <w:rPr>
                <w:sz w:val="20"/>
                <w:szCs w:val="20"/>
                <w:color w:val="auto"/>
              </w:rPr>
            </w:pPr>
            <w:r>
              <w:rPr>
                <w:rFonts w:ascii="Times New Roman" w:cs="Times New Roman" w:eastAsia="Times New Roman" w:hAnsi="Times New Roman"/>
                <w:sz w:val="18"/>
                <w:szCs w:val="18"/>
                <w:color w:val="auto"/>
              </w:rPr>
              <w:t>62.5 bps</w:t>
            </w:r>
          </w:p>
        </w:tc>
        <w:tc>
          <w:tcPr>
            <w:tcW w:w="2100" w:type="dxa"/>
            <w:vAlign w:val="bottom"/>
            <w:gridSpan w:val="2"/>
          </w:tcPr>
          <w:p>
            <w:pPr>
              <w:jc w:val="center"/>
              <w:ind w:left="560"/>
              <w:spacing w:after="0"/>
              <w:rPr>
                <w:sz w:val="20"/>
                <w:szCs w:val="20"/>
                <w:color w:val="auto"/>
              </w:rPr>
            </w:pPr>
            <w:r>
              <w:rPr>
                <w:rFonts w:ascii="Times New Roman" w:cs="Times New Roman" w:eastAsia="Times New Roman" w:hAnsi="Times New Roman"/>
                <w:sz w:val="18"/>
                <w:szCs w:val="18"/>
                <w:color w:val="auto"/>
              </w:rPr>
              <w:t>75.0 bps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100.0 bps</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IV</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9"/>
          </w:tcPr>
          <w:p>
            <w:pPr>
              <w:jc w:val="center"/>
              <w:ind w:right="980"/>
              <w:spacing w:after="0"/>
              <w:rPr>
                <w:sz w:val="20"/>
                <w:szCs w:val="20"/>
                <w:color w:val="auto"/>
              </w:rPr>
            </w:pPr>
            <w:r>
              <w:rPr>
                <w:rFonts w:ascii="Times New Roman" w:cs="Times New Roman" w:eastAsia="Times New Roman" w:hAnsi="Times New Roman"/>
                <w:sz w:val="18"/>
                <w:szCs w:val="18"/>
                <w:color w:val="auto"/>
              </w:rPr>
              <w:t>87.5 bps</w:t>
            </w:r>
          </w:p>
        </w:tc>
        <w:tc>
          <w:tcPr>
            <w:tcW w:w="2100" w:type="dxa"/>
            <w:vAlign w:val="bottom"/>
            <w:gridSpan w:val="2"/>
          </w:tcPr>
          <w:p>
            <w:pPr>
              <w:jc w:val="center"/>
              <w:ind w:left="560"/>
              <w:spacing w:after="0"/>
              <w:rPr>
                <w:sz w:val="20"/>
                <w:szCs w:val="20"/>
                <w:color w:val="auto"/>
              </w:rPr>
            </w:pPr>
            <w:r>
              <w:rPr>
                <w:rFonts w:ascii="Times New Roman" w:cs="Times New Roman" w:eastAsia="Times New Roman" w:hAnsi="Times New Roman"/>
                <w:sz w:val="18"/>
                <w:szCs w:val="18"/>
                <w:color w:val="auto"/>
                <w:w w:val="99"/>
              </w:rPr>
              <w:t>100.0 bps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125.0 bps</w:t>
            </w:r>
          </w:p>
        </w:tc>
        <w:tc>
          <w:tcPr>
            <w:tcW w:w="0" w:type="dxa"/>
            <w:vAlign w:val="bottom"/>
          </w:tcPr>
          <w:p>
            <w:pPr>
              <w:spacing w:after="0"/>
              <w:rPr>
                <w:sz w:val="1"/>
                <w:szCs w:val="1"/>
                <w:color w:val="auto"/>
              </w:rPr>
            </w:pP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V</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gridSpan w:val="9"/>
          </w:tcPr>
          <w:p>
            <w:pPr>
              <w:jc w:val="center"/>
              <w:ind w:right="980"/>
              <w:spacing w:after="0"/>
              <w:rPr>
                <w:sz w:val="20"/>
                <w:szCs w:val="20"/>
                <w:color w:val="auto"/>
              </w:rPr>
            </w:pPr>
            <w:r>
              <w:rPr>
                <w:rFonts w:ascii="Times New Roman" w:cs="Times New Roman" w:eastAsia="Times New Roman" w:hAnsi="Times New Roman"/>
                <w:sz w:val="18"/>
                <w:szCs w:val="18"/>
                <w:color w:val="auto"/>
                <w:w w:val="99"/>
              </w:rPr>
              <w:t>100.0 bps</w:t>
            </w:r>
          </w:p>
        </w:tc>
        <w:tc>
          <w:tcPr>
            <w:tcW w:w="2100" w:type="dxa"/>
            <w:vAlign w:val="bottom"/>
            <w:gridSpan w:val="2"/>
          </w:tcPr>
          <w:p>
            <w:pPr>
              <w:jc w:val="center"/>
              <w:ind w:left="560"/>
              <w:spacing w:after="0"/>
              <w:rPr>
                <w:sz w:val="20"/>
                <w:szCs w:val="20"/>
                <w:color w:val="auto"/>
              </w:rPr>
            </w:pPr>
            <w:r>
              <w:rPr>
                <w:rFonts w:ascii="Times New Roman" w:cs="Times New Roman" w:eastAsia="Times New Roman" w:hAnsi="Times New Roman"/>
                <w:sz w:val="18"/>
                <w:szCs w:val="18"/>
                <w:color w:val="auto"/>
                <w:w w:val="99"/>
              </w:rPr>
              <w:t>112.5 bps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137.5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Each change in the ABR Rate Margin shall apply during the period commencing on the effective date of such change and ending on the date immediately preceding the effective date of the next such change. Changes in the ABR Rate Margin will occur automatically without prior notice.</w:t>
      </w:r>
    </w:p>
    <w:p>
      <w:pPr>
        <w:spacing w:after="0" w:line="140"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Business Debt Refinancing</w:t>
      </w:r>
      <w:r>
        <w:rPr>
          <w:rFonts w:ascii="Times New Roman" w:cs="Times New Roman" w:eastAsia="Times New Roman" w:hAnsi="Times New Roman"/>
          <w:sz w:val="18"/>
          <w:szCs w:val="18"/>
          <w:color w:val="auto"/>
        </w:rPr>
        <w:t>” means the Initial Acquired Business Debt Refinancing and the Other Acquired Business Debt Refinancing.</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APA’s acquisition, by way of merger, of the Target (together with consummation of other transactions contemplated in the Acquisition Agreement) pursuant to the terms of the Acquisition Agreement.</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 means that Agreement and Plan of Merger, dated as of January 3, 2024 (together with the schedules and exhibits thereto) among APA, Acquisition Sub and the Target.</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Agreement Representations</w:t>
      </w:r>
      <w:r>
        <w:rPr>
          <w:rFonts w:ascii="Times New Roman" w:cs="Times New Roman" w:eastAsia="Times New Roman" w:hAnsi="Times New Roman"/>
          <w:sz w:val="18"/>
          <w:szCs w:val="18"/>
          <w:color w:val="auto"/>
        </w:rPr>
        <w:t>” means the representations made by or on behalf of the Target and its Subsidiaries in the Acquisition Agreement that are material to the interests of the Lenders but only to the extent that the Borrower or its applicable Affiliates has the right to terminate its obligation to consummate the Acquisition (or otherwise does not have an obligation to close) under the Acquisition Agreement as a result of a breach of or a failure of such representations to be accurate in the Acquisition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Acquisition Sub</w:t>
      </w:r>
      <w:r>
        <w:rPr>
          <w:rFonts w:ascii="Times New Roman" w:cs="Times New Roman" w:eastAsia="Times New Roman" w:hAnsi="Times New Roman"/>
          <w:sz w:val="18"/>
          <w:szCs w:val="18"/>
          <w:color w:val="auto"/>
        </w:rPr>
        <w:t>” means Astro Comet Merger Sub Corp., a Delaware corporation.</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xml:space="preserve">” means an interest rate per annum equal to (a) the Daily Simple SOFR, plus (b) 0.10%;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SOFR as so determined would be less than the Floor, such rate shall be deemed to be equal to the Floor for the purposes of this Agreement.</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xml:space="preserve">” means, for any Interest Period, an interest rate per annum equal to (a) the Term SOFR Rate for such Interest Period, plus (b) 0.10%;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Rate as so determined would be less than the Floor, such rate shall be deemed to be equal to the Floor for the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in its capacity as administrative agent for the Lenders.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Loan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at a given time,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each of the Administrative Agent, each Co-Syndication Agent and each of the Co-Documentation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w:t>
      </w:r>
    </w:p>
    <w:p>
      <w:pPr>
        <w:spacing w:after="0" w:line="223" w:lineRule="exact"/>
        <w:rPr>
          <w:sz w:val="20"/>
          <w:szCs w:val="20"/>
          <w:color w:val="auto"/>
        </w:rPr>
      </w:pPr>
    </w:p>
    <w:p>
      <w:pPr>
        <w:ind w:firstLine="440"/>
        <w:spacing w:after="0" w:line="23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greatest of (a) the Prime Rate in effect on such day, (b) the NYFRB Rate in effect on such day plus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of 1% and (c) the Adjusted Term SOFR Rate for a one month Interest Period as published two U.S. Government Securities Business Days prior to such day (or if such day is not a Business Day, the immediately preceding Business Day) plus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24" w:name="page25"/>
    <w:bookmarkEnd w:id="24"/>
    <w:p>
      <w:pPr>
        <w:ind w:left="4" w:right="4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interest pursuant to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hereof (for the avoidance of doubt, only until the Benchmark Replacement has been determined pursuant to </w:t>
      </w:r>
      <w:r>
        <w:rPr>
          <w:rFonts w:ascii="Times New Roman" w:cs="Times New Roman" w:eastAsia="Times New Roman" w:hAnsi="Times New Roman"/>
          <w:sz w:val="17"/>
          <w:szCs w:val="17"/>
          <w:u w:val="single" w:color="auto"/>
          <w:color w:val="auto"/>
        </w:rPr>
        <w:t>Section 2.13(b)</w:t>
      </w:r>
      <w:r>
        <w:rPr>
          <w:rFonts w:ascii="Times New Roman" w:cs="Times New Roman" w:eastAsia="Times New Roman" w:hAnsi="Times New Roman"/>
          <w:sz w:val="17"/>
          <w:szCs w:val="17"/>
          <w:color w:val="auto"/>
        </w:rPr>
        <w:t>), then the Alternate Base Rate shall be the greater of clauses (a) and (b) above and shall be determined without reference to clause</w:t>
      </w:r>
    </w:p>
    <w:p>
      <w:pPr>
        <w:spacing w:after="0" w:line="1" w:lineRule="exact"/>
        <w:rPr>
          <w:sz w:val="20"/>
          <w:szCs w:val="20"/>
          <w:color w:val="auto"/>
        </w:rPr>
      </w:pPr>
    </w:p>
    <w:p>
      <w:pPr>
        <w:ind w:left="4" w:right="380" w:hanging="4"/>
        <w:spacing w:after="0" w:line="260" w:lineRule="auto"/>
        <w:tabs>
          <w:tab w:leader="none" w:pos="2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the avoidance of doubt, if the Alternate Base Rate as so determined would be less than zero, such rate shall be deemed to be zero for purposes of this Agreement.</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7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the United States Foreign Corrupt Practices Act of 1977 and all other laws, rules, and regulations of any jurisdiction concerning bribery, corruption or money laundering, including, without limitation, the Bribery Act 2010 of the United Kingdom.</w:t>
      </w:r>
    </w:p>
    <w:p>
      <w:pPr>
        <w:spacing w:after="0" w:line="14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Apache</w:t>
      </w:r>
      <w:r>
        <w:rPr>
          <w:rFonts w:ascii="Times New Roman" w:cs="Times New Roman" w:eastAsia="Times New Roman" w:hAnsi="Times New Roman"/>
          <w:sz w:val="18"/>
          <w:szCs w:val="18"/>
          <w:color w:val="auto"/>
        </w:rPr>
        <w:t>” means Apache Corporation, a Delaware corporation.</w:t>
      </w:r>
    </w:p>
    <w:p>
      <w:pPr>
        <w:spacing w:after="0" w:line="225"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Apache Guaranty</w:t>
      </w:r>
      <w:r>
        <w:rPr>
          <w:rFonts w:ascii="Times New Roman" w:cs="Times New Roman" w:eastAsia="Times New Roman" w:hAnsi="Times New Roman"/>
          <w:sz w:val="18"/>
          <w:szCs w:val="18"/>
          <w:color w:val="auto"/>
        </w:rPr>
        <w:t xml:space="preserve">” means that certain Guaranty by Apache in favor of the Lenders and the other Lender Parties (as defined therein), in substantially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or any other form approved by the Administrative Agent, as such Guaranty may from time to time be amended, supplemented, restated, reaffirmed or otherwise modified.</w:t>
      </w:r>
    </w:p>
    <w:p>
      <w:pPr>
        <w:spacing w:after="0" w:line="176"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Lending Office</w:t>
      </w:r>
      <w:r>
        <w:rPr>
          <w:rFonts w:ascii="Times New Roman" w:cs="Times New Roman" w:eastAsia="Times New Roman" w:hAnsi="Times New Roman"/>
          <w:sz w:val="18"/>
          <w:szCs w:val="18"/>
          <w:color w:val="auto"/>
        </w:rPr>
        <w:t>” means, for each Lender and for each Type of Loan, such office of such Lender (or of an Affiliate of such Lender) as such Lender may from time to time specify in writing to the Administrative Agent and Borrower as the office by which its Loans of such Type are to be made and/or issued and maintained.</w:t>
      </w:r>
    </w:p>
    <w:p>
      <w:pPr>
        <w:spacing w:after="0" w:line="176" w:lineRule="exact"/>
        <w:rPr>
          <w:sz w:val="20"/>
          <w:szCs w:val="20"/>
          <w:color w:val="auto"/>
        </w:rPr>
      </w:pPr>
    </w:p>
    <w:p>
      <w:pPr>
        <w:ind w:left="4" w:right="1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Percentage</w:t>
      </w:r>
      <w:r>
        <w:rPr>
          <w:rFonts w:ascii="Times New Roman" w:cs="Times New Roman" w:eastAsia="Times New Roman" w:hAnsi="Times New Roman"/>
          <w:sz w:val="17"/>
          <w:szCs w:val="17"/>
          <w:color w:val="auto"/>
        </w:rPr>
        <w:t xml:space="preserve">” means, with respect to any Lender, the percentage of the total Commitments represented by such Lender’s aggregate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when a Defaulting Lender shall exist, “</w:t>
      </w:r>
      <w:r>
        <w:rPr>
          <w:rFonts w:ascii="Times New Roman" w:cs="Times New Roman" w:eastAsia="Times New Roman" w:hAnsi="Times New Roman"/>
          <w:sz w:val="17"/>
          <w:szCs w:val="17"/>
          <w:u w:val="single" w:color="auto"/>
          <w:color w:val="auto"/>
        </w:rPr>
        <w:t>Applicable Percentage</w:t>
      </w:r>
      <w:r>
        <w:rPr>
          <w:rFonts w:ascii="Times New Roman" w:cs="Times New Roman" w:eastAsia="Times New Roman" w:hAnsi="Times New Roman"/>
          <w:sz w:val="17"/>
          <w:szCs w:val="17"/>
          <w:color w:val="auto"/>
        </w:rPr>
        <w:t xml:space="preserve">” shall be adjusted for purposes of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as set forth in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If the Commitments have terminated or expired, the Applicable Percentages shall be determined based upon the Commitments most recently in effect, giving effect to any assignments and adjustments due to any Lender’s status as a Defaulting Lender at the time of determination.</w:t>
      </w:r>
    </w:p>
    <w:p>
      <w:pPr>
        <w:spacing w:after="0" w:line="164"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Rating Level</w:t>
      </w:r>
      <w:r>
        <w:rPr>
          <w:rFonts w:ascii="Times New Roman" w:cs="Times New Roman" w:eastAsia="Times New Roman" w:hAnsi="Times New Roman"/>
          <w:sz w:val="18"/>
          <w:szCs w:val="18"/>
          <w:color w:val="auto"/>
        </w:rPr>
        <w:t>” means (a) at any time the ratings established or deemed to have been established by Moody’s and S&amp;P for the Index Debt are equivalent ratings, the level set forth in the chart below under the heading “Applicable Rating Level” (a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 xml:space="preserve">”) opposite the ratings under the headings “Moody’s” and “S&amp;P”, and (b) if the ratings established or deemed to have been established by Moody’s and S&amp;P for the Index Debt shall fall within different Levels, the Applicable Rating Level shall be based on the higher rating,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the foregoing, (i) “≥” means a rating equal to or more favorable than; “≤” means a rating equal to or less favorable than; “&gt;” means a rating greater than; “&lt;” means a rating less than; (ii) in the event that a one rating level split occurs between the Moody’s and S&amp;P ratings, then the rating corresponding to the higher rating shall determine the Applicable Rating Level; (iii) in the event that more than a one rating level split occurs between the Moody’s and S&amp;P ratings, then the Applicable Rating Level shall equal one level lower than the higher rating; (iv) if only one of Moody’s and S&amp;P shall have in effect a rating for the Index Debt (other than by reason of the circumstances referred to in the penultimate sentence of this definition), then the Applicable Rating Level shall be the rating that is one Level below the rating established by such party; (v) if there</w:t>
      </w:r>
    </w:p>
    <w:p>
      <w:pPr>
        <w:spacing w:after="0" w:line="1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70" w:right="499" w:bottom="1440" w:gutter="0" w:footer="0" w:header="0"/>
        </w:sectPr>
      </w:pPr>
    </w:p>
    <w:bookmarkStart w:id="25" w:name="page26"/>
    <w:bookmarkEnd w:id="2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 no rating for the Index Debt from Moody’s and S&amp;P, then the Applicable Rating Level shall equal </w:t>
      </w:r>
      <w:r>
        <w:rPr>
          <w:rFonts w:ascii="Times New Roman" w:cs="Times New Roman" w:eastAsia="Times New Roman" w:hAnsi="Times New Roman"/>
          <w:sz w:val="18"/>
          <w:szCs w:val="18"/>
          <w:u w:val="single" w:color="auto"/>
          <w:color w:val="auto"/>
        </w:rPr>
        <w:t>Level V</w:t>
      </w:r>
      <w:r>
        <w:rPr>
          <w:rFonts w:ascii="Times New Roman" w:cs="Times New Roman" w:eastAsia="Times New Roman" w:hAnsi="Times New Roman"/>
          <w:sz w:val="18"/>
          <w:szCs w:val="18"/>
          <w:color w:val="auto"/>
        </w:rPr>
        <w:t>; and (vi)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Each change in the Applicable Rating Level shall apply during the period commencing on the effective date of such change and ending on the date immediately preceding the effective date of the next such change. If the rating system of Moody’s or S&amp;P shall change, or if any such rating agency shall cease to be in the business of rating corporate debt obligations, APA and the Lenders shall negotiate in good faith to amend this definition to reflect such changed rating system or the unavailability of ratings from such rating agency and, pending the effectiveness of any such amendment, the Applicable Rating Level shall be determined by reference to the rating most recently in effect prior to such change or cessation. Changes in the Applicable Rating Level will occur automatically without prior notice.</w:t>
      </w:r>
    </w:p>
    <w:p>
      <w:pPr>
        <w:spacing w:after="0" w:line="20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Applicable Rating Level</w:t>
            </w:r>
          </w:p>
        </w:tc>
        <w:tc>
          <w:tcPr>
            <w:tcW w:w="272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w w:val="98"/>
              </w:rPr>
              <w:t>Moody’s</w:t>
            </w:r>
          </w:p>
        </w:tc>
        <w:tc>
          <w:tcPr>
            <w:tcW w:w="1080" w:type="dxa"/>
            <w:vAlign w:val="bottom"/>
          </w:tcPr>
          <w:p>
            <w:pPr>
              <w:spacing w:after="0"/>
              <w:rPr>
                <w:sz w:val="13"/>
                <w:szCs w:val="13"/>
                <w:color w:val="auto"/>
              </w:rPr>
            </w:pPr>
          </w:p>
        </w:tc>
        <w:tc>
          <w:tcPr>
            <w:tcW w:w="1680" w:type="dxa"/>
            <w:vAlign w:val="bottom"/>
            <w:gridSpan w:val="3"/>
          </w:tcPr>
          <w:p>
            <w:pPr>
              <w:jc w:val="center"/>
              <w:ind w:left="973"/>
              <w:spacing w:after="0"/>
              <w:rPr>
                <w:sz w:val="20"/>
                <w:szCs w:val="20"/>
                <w:color w:val="auto"/>
              </w:rPr>
            </w:pPr>
            <w:r>
              <w:rPr>
                <w:rFonts w:ascii="Times New Roman" w:cs="Times New Roman" w:eastAsia="Times New Roman" w:hAnsi="Times New Roman"/>
                <w:sz w:val="14"/>
                <w:szCs w:val="14"/>
                <w:color w:val="auto"/>
                <w:w w:val="98"/>
              </w:rPr>
              <w:t>S&amp;P</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7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124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Level I</w:t>
            </w:r>
          </w:p>
        </w:tc>
        <w:tc>
          <w:tcPr>
            <w:tcW w:w="2720" w:type="dxa"/>
            <w:vAlign w:val="bottom"/>
            <w:vMerge w:val="continue"/>
          </w:tcPr>
          <w:p>
            <w:pPr>
              <w:spacing w:after="0"/>
              <w:rPr>
                <w:sz w:val="16"/>
                <w:szCs w:val="16"/>
                <w:color w:val="auto"/>
              </w:rPr>
            </w:pPr>
          </w:p>
        </w:tc>
        <w:tc>
          <w:tcPr>
            <w:tcW w:w="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 Baa1</w:t>
            </w:r>
          </w:p>
        </w:tc>
        <w:tc>
          <w:tcPr>
            <w:tcW w:w="10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4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0"/>
              </w:rPr>
              <w:t>BBB+</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II</w:t>
            </w:r>
          </w:p>
        </w:tc>
        <w:tc>
          <w:tcPr>
            <w:tcW w:w="16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7"/>
              </w:rPr>
              <w:t>Baa2</w:t>
            </w:r>
          </w:p>
        </w:tc>
        <w:tc>
          <w:tcPr>
            <w:tcW w:w="1680" w:type="dxa"/>
            <w:vAlign w:val="bottom"/>
            <w:gridSpan w:val="3"/>
          </w:tcPr>
          <w:p>
            <w:pPr>
              <w:jc w:val="center"/>
              <w:ind w:left="993"/>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III</w:t>
            </w:r>
          </w:p>
        </w:tc>
        <w:tc>
          <w:tcPr>
            <w:tcW w:w="16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7"/>
              </w:rPr>
              <w:t>Baa3</w:t>
            </w:r>
          </w:p>
        </w:tc>
        <w:tc>
          <w:tcPr>
            <w:tcW w:w="1680" w:type="dxa"/>
            <w:vAlign w:val="bottom"/>
            <w:gridSpan w:val="3"/>
          </w:tcPr>
          <w:p>
            <w:pPr>
              <w:jc w:val="center"/>
              <w:ind w:left="973"/>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IV</w:t>
            </w:r>
          </w:p>
        </w:tc>
        <w:tc>
          <w:tcPr>
            <w:tcW w:w="16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6"/>
              </w:rPr>
              <w:t>Ba1</w:t>
            </w:r>
          </w:p>
        </w:tc>
        <w:tc>
          <w:tcPr>
            <w:tcW w:w="1680" w:type="dxa"/>
            <w:vAlign w:val="bottom"/>
            <w:gridSpan w:val="3"/>
          </w:tcPr>
          <w:p>
            <w:pPr>
              <w:jc w:val="center"/>
              <w:ind w:left="973"/>
              <w:spacing w:after="0"/>
              <w:rPr>
                <w:sz w:val="20"/>
                <w:szCs w:val="20"/>
                <w:color w:val="auto"/>
              </w:rPr>
            </w:pPr>
            <w:r>
              <w:rPr>
                <w:rFonts w:ascii="Times New Roman" w:cs="Times New Roman" w:eastAsia="Times New Roman" w:hAnsi="Times New Roman"/>
                <w:sz w:val="18"/>
                <w:szCs w:val="18"/>
                <w:color w:val="auto"/>
                <w:w w:val="99"/>
              </w:rPr>
              <w:t>BB+</w:t>
            </w: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V</w:t>
            </w:r>
          </w:p>
        </w:tc>
        <w:tc>
          <w:tcPr>
            <w:tcW w:w="16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rPr>
              <w:t>≤Ba2</w:t>
            </w:r>
          </w:p>
        </w:tc>
        <w:tc>
          <w:tcPr>
            <w:tcW w:w="1680" w:type="dxa"/>
            <w:vAlign w:val="bottom"/>
            <w:gridSpan w:val="3"/>
          </w:tcPr>
          <w:p>
            <w:pPr>
              <w:jc w:val="center"/>
              <w:ind w:left="973"/>
              <w:spacing w:after="0"/>
              <w:rPr>
                <w:sz w:val="20"/>
                <w:szCs w:val="20"/>
                <w:color w:val="auto"/>
              </w:rPr>
            </w:pPr>
            <w:r>
              <w:rPr>
                <w:rFonts w:ascii="Times New Roman" w:cs="Times New Roman" w:eastAsia="Times New Roman" w:hAnsi="Times New Roman"/>
                <w:sz w:val="18"/>
                <w:szCs w:val="18"/>
                <w:color w:val="auto"/>
              </w:rPr>
              <w:t>≤BB</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example, if the Moody’s rating is Baa3 and the S&amp;P rating is BB+, Level III shall apply.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ind w:left="4" w:right="30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Authorized Officer</w:t>
      </w:r>
      <w:r>
        <w:rPr>
          <w:rFonts w:ascii="Times New Roman" w:cs="Times New Roman" w:eastAsia="Times New Roman" w:hAnsi="Times New Roman"/>
          <w:sz w:val="17"/>
          <w:szCs w:val="17"/>
          <w:color w:val="auto"/>
        </w:rPr>
        <w:t>” means, with respect to (i) APA, the chief executive officer and/or president, the chief financial officer, or the treasurer of APA and any officer or employee of APA specified as such to the Administrative Agent in writing by any of the aforementioned officers of APA and</w:t>
      </w:r>
    </w:p>
    <w:p>
      <w:pPr>
        <w:spacing w:after="0" w:line="1" w:lineRule="exact"/>
        <w:rPr>
          <w:sz w:val="20"/>
          <w:szCs w:val="20"/>
          <w:color w:val="auto"/>
        </w:rPr>
      </w:pPr>
    </w:p>
    <w:p>
      <w:pPr>
        <w:ind w:left="4" w:right="300" w:hanging="4"/>
        <w:spacing w:after="0" w:line="260"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Apache, the chief executive officer and/or president, the chief financial officer, or the treasurer of Apache and any officer or employee of Apache specified as such to the Administrative Agent in writing by any of the aforementioned officers of Apache.</w:t>
      </w:r>
    </w:p>
    <w:p>
      <w:pPr>
        <w:spacing w:after="0" w:line="18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6" w:name="page27"/>
    <w:bookmarkEnd w:id="26"/>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Bail-In Legislation</w:t>
      </w:r>
      <w:r>
        <w:rPr>
          <w:rFonts w:ascii="Times New Roman" w:cs="Times New Roman" w:eastAsia="Times New Roman" w:hAnsi="Times New Roman"/>
          <w:sz w:val="17"/>
          <w:szCs w:val="17"/>
          <w:color w:val="auto"/>
        </w:rPr>
        <w:t>” means (a) with respect to any EEA Member Country implementing Article 55 of Directive 2014/59/EU of the European Parliament and of the Council of the European Union, the implementing law, regulation or rule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Rating</w:t>
      </w:r>
      <w:r>
        <w:rPr>
          <w:rFonts w:ascii="Times New Roman" w:cs="Times New Roman" w:eastAsia="Times New Roman" w:hAnsi="Times New Roman"/>
          <w:sz w:val="18"/>
          <w:szCs w:val="18"/>
          <w:color w:val="auto"/>
        </w:rPr>
        <w:t>” means, with respect to any Person, the ratings established or deemed to have been established by Moody’s and S&amp;P for the senior, unsubordinated, unsecured long-term debt of such Person.</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consented to, approval of, or acquiescence in, any such proceeding or appointment, provided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Term Benchmark Loan,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Term SOFR Rate or the then-current Benchmark, then “Benchmark” means the applicable Benchmark Replacement to the extent that such Benchmark Replacement has replaced such prior benchmark rate pursuant to clause (b)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the Adjusted Daily Simple SOFR;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7" w:name="page28"/>
    <w:bookmarkEnd w:id="27"/>
    <w:p>
      <w:pPr>
        <w:ind w:left="440" w:right="20" w:firstLine="419"/>
        <w:spacing w:after="0" w:line="258"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(a) the alternate benchmark rate that has been selected by the Administrative Agent and APA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(x) Adjusted Daily Simple SOFR becomes the Benchmark Replacement and (y) thereafter APA reasonably determines that at least three (3) currently outstanding US Dollar-denominated syndicated credit facilities in the United States utilize a different benchmark rate as a replacement for the then-current Benchmark, then (A) APA shall have the right to request a redetermination of the Benchmark Replacement utilizing clause (2) above for determining the alternate benchmark rate, (B) the Administrative Agent agrees to work with APA to determine such alternative benchmark rate as specified in clause (2) above, and (C) such determined alternative benchmark rate shall become effective in the manner set forth in clause (2) above. If the Benchmark Replacement as determined pursuant to clause (1) or (2) above would be less than the Floor, the Benchmark Replacement will be deemed to be the Floor for the purposes of this Agreement and the other Loan Documents.</w:t>
      </w:r>
    </w:p>
    <w:p>
      <w:pPr>
        <w:spacing w:after="0" w:line="18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Benchmark Replacement Adjustment</w:t>
      </w:r>
      <w:r>
        <w:rPr>
          <w:rFonts w:ascii="Times New Roman" w:cs="Times New Roman" w:eastAsia="Times New Roman" w:hAnsi="Times New Roman"/>
          <w:sz w:val="17"/>
          <w:szCs w:val="17"/>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APA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2"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after consultation with APA, decides is reasonably necessary in connection with the administration of this Agreement and the other Loan Documents).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8" w:name="page29"/>
    <w:bookmarkEnd w:id="28"/>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earlier to occur of the following events with respect to such then-current Benchmark:</w:t>
      </w:r>
    </w:p>
    <w:p>
      <w:pPr>
        <w:spacing w:after="0" w:line="54" w:lineRule="exact"/>
        <w:rPr>
          <w:sz w:val="20"/>
          <w:szCs w:val="20"/>
          <w:color w:val="auto"/>
        </w:rPr>
      </w:pPr>
    </w:p>
    <w:p>
      <w:pPr>
        <w:ind w:left="440" w:right="40" w:firstLine="419"/>
        <w:spacing w:after="0" w:line="266"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58"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54" w:lineRule="exact"/>
        <w:rPr>
          <w:sz w:val="20"/>
          <w:szCs w:val="20"/>
          <w:color w:val="auto"/>
        </w:rPr>
      </w:pPr>
    </w:p>
    <w:p>
      <w:pPr>
        <w:ind w:left="440" w:firstLine="419"/>
        <w:spacing w:after="0" w:line="261"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9" w:name="page30"/>
    <w:bookmarkEnd w:id="29"/>
    <w:p>
      <w:pPr>
        <w:ind w:left="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72" w:lineRule="exact"/>
        <w:rPr>
          <w:sz w:val="20"/>
          <w:szCs w:val="20"/>
          <w:color w:val="auto"/>
        </w:rPr>
      </w:pPr>
    </w:p>
    <w:p>
      <w:pPr>
        <w:ind w:left="440" w:right="20" w:firstLine="419"/>
        <w:spacing w:after="0" w:line="266" w:lineRule="auto"/>
        <w:tabs>
          <w:tab w:leader="none" w:pos="11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ind w:right="3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L.P., and any nationally recognized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Type and Class, made, converted or continued on the same date and, in the case of Term Benchmark Loans, as to which a single Interest Period is in effect.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Borrower for a Borrowing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approved by the Administrative Agent.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0" w:name="page31"/>
    <w:bookmarkEnd w:id="30"/>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Bridge Commitment Letter</w:t>
      </w:r>
      <w:r>
        <w:rPr>
          <w:rFonts w:ascii="Times New Roman" w:cs="Times New Roman" w:eastAsia="Times New Roman" w:hAnsi="Times New Roman"/>
          <w:sz w:val="18"/>
          <w:szCs w:val="18"/>
          <w:color w:val="auto"/>
        </w:rPr>
        <w:t>” means that Commitment Letter, dated January 3, 2024, by and between the Borrower, JPMorgan Chase Bank, N.A., Citigroup Global Markets Inc., Wells Fargo Securities, LLC and Wells Fargo Bank, National Association.</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a Sunday or other day on which banks are not open for business in New York City or Chicago;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relation to Loans bearing interest based on Adjusted Daily Simple SOFR and any interest rate settings, fundings, disbursements, settlements or payments of any such Loan, or any other dealings of such Loan, the term “Business Days” shall exclude any such day that is not an U.S. Government Securities Business Day.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Canada</w:t>
      </w:r>
      <w:r>
        <w:rPr>
          <w:rFonts w:ascii="Times New Roman" w:cs="Times New Roman" w:eastAsia="Times New Roman" w:hAnsi="Times New Roman"/>
          <w:sz w:val="18"/>
          <w:szCs w:val="18"/>
          <w:color w:val="auto"/>
        </w:rPr>
        <w:t>” means Canada and any of its provinces or territories.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w:t>
      </w:r>
      <w:r>
        <w:rPr>
          <w:rFonts w:ascii="Times New Roman" w:cs="Times New Roman" w:eastAsia="Times New Roman" w:hAnsi="Times New Roman"/>
          <w:sz w:val="18"/>
          <w:szCs w:val="18"/>
          <w:color w:val="auto"/>
        </w:rPr>
        <w:t xml:space="preserve">” means the consolidated shareholder’s equity of APA and its Subsidiaries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consolidated Debt of APA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calculation shall exclude the effects of non-cash write-downs, impairments, and related charges occurring after June 30, 2015, including, without limitation, those which may be required under Financial Accounting Standards Board Accounting Standards Codification 360 or Rule 4-10 (Financial Accounting and Reporting for Oil and Gas Producing Activities Pursuant to the Federal Securities Laws and the Energy Policy and Conservation Act of 1975) of Regulation S-X promulgated by the SEC or by GAAP.</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Islands</w:t>
      </w:r>
      <w:r>
        <w:rPr>
          <w:rFonts w:ascii="Times New Roman" w:cs="Times New Roman" w:eastAsia="Times New Roman" w:hAnsi="Times New Roman"/>
          <w:sz w:val="18"/>
          <w:szCs w:val="18"/>
          <w:color w:val="auto"/>
        </w:rPr>
        <w:t>” means the Cayman Islands.</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means the Comprehensive Environmental Response, Compensation and Liability Act of 1980, 42 U.S.C. §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 from time to time.</w:t>
      </w:r>
    </w:p>
    <w:p>
      <w:pPr>
        <w:spacing w:after="0" w:line="16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364-Day Tranche Loan or 3-Year Tranche Loans and (b) any Commitment, refers to whether such Commitment is a 364-Day Tranche Commitment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3-Year Tranche Commitment.</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satisfied (or waived in accordance with Section 10.2) and the Loans requested pursuant to the Borrowing Request are funded.</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such later date on which such Lender becomes a party to this Agreement, of any of the following: (a) the adoption of or taking effect of any law, rule, regulation or treaty by any Governmental Authority, (b) any change in any law, rule, regulation or treaty or in the interpretation or application thereof by any Governmental Authority or (c) compliance by any Lender (or, for purposes of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by any Applicable Lending Office of such Lender or by such Lender’s holding company, if any)) with any rule,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(i) the Dodd-Frank Wall Street Reform and Consumer Protection Act and all rules, guidelines or directives thereunder or issued in connection therewith and (ii) all rules, guidelines or directives concerning capital adequacy or liquidity promulgated by the Bank for International Settlements, the Basel Committee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1" w:name="page32"/>
    <w:bookmarkEnd w:id="31"/>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Banking Supervision (or any successor or similar authority) or the United States or foreign regulatory authorities, in each case pursuant to Basel III, shall in each case be deemed to be a “Change in Law,” to the extent enacted, adopted, promulgated, or issued by any Governmental Authority or otherwise having the force of law, regardless of the date enacted, adopted or issued.</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Co-Documentation Agents</w:t>
      </w:r>
      <w:r>
        <w:rPr>
          <w:rFonts w:ascii="Times New Roman" w:cs="Times New Roman" w:eastAsia="Times New Roman" w:hAnsi="Times New Roman"/>
          <w:sz w:val="18"/>
          <w:szCs w:val="18"/>
          <w:color w:val="auto"/>
        </w:rPr>
        <w:t>” means Bank of America, N.A., Goldman Sachs Bank USA, HSBC Bank USA, N.A., Mizuho Bank, Ltd., MUFG Bank, Ltd., The Toronto-Dominion Bank, New York Branch and Truist Bank, in their capacity as co-documentation agents.</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such Lender’s 364-Day Tranche Commitment or 3-Year Tranche Commitment, as applicable, as such commitment may be (a) reduced from time to time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and (d) terminated pursuant to Section 2.8,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amount of the Commitment represents such Lender’s maximum Credit Exposure hereunder. The initial amount of each Lender’s Commitment is set forth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or in the Assignment and Assumption pursuant to which such Lender shall have assumed its Commitment, as applicable. The initial aggregate amount of the Lenders’ Commitments is $2,000,000,000.</w:t>
      </w:r>
    </w:p>
    <w:p>
      <w:pPr>
        <w:spacing w:after="0" w:line="18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means the first to occur of: (i) the consummation of the Acquisition without the making of the Loans, (ii) the termination of the Acquisition Agreement in accordance with its terms and (iii) the Termination Date (as defined in, and including as may be extended pursuant to Section 7.1 of, the Acquisition Agreement as in effect on January 3, 2024).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xml:space="preserve">” means the total assets of APA and its subsidiaries as of the end of APA’s most recent fiscal quarter for which a consolidated balance sheet of APA and its subsidiaries is available,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(i) all current liabilities (excluding the current portion of any long-term debt) of APA and its subsidiaries reflected on such balance sheet, and (ii) total goodwill and other intangible assets of APA and its subsidiaries reflected on such balance sheet, all calculated on a consolidated basis in accordance with GAAP.</w:t>
      </w:r>
    </w:p>
    <w:p>
      <w:pPr>
        <w:spacing w:after="0" w:line="180"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Net Worth</w:t>
      </w:r>
      <w:r>
        <w:rPr>
          <w:rFonts w:ascii="Times New Roman" w:cs="Times New Roman" w:eastAsia="Times New Roman" w:hAnsi="Times New Roman"/>
          <w:sz w:val="18"/>
          <w:szCs w:val="18"/>
          <w:color w:val="auto"/>
        </w:rPr>
        <w:t xml:space="preserve">” means (i) the consolidated shareholder’s equity of APA and its Subsidiaries,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amount of consolidated intangible assets of APA and its Subsidiaries,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aggregate amount of any non-cash write downs, impairments, and related charges, on a consolidated basis, by APA and its Subsidiaries made since June 4, 2015.</w:t>
      </w:r>
    </w:p>
    <w:p>
      <w:pPr>
        <w:spacing w:after="0" w:line="176" w:lineRule="exact"/>
        <w:rPr>
          <w:sz w:val="20"/>
          <w:szCs w:val="20"/>
          <w:color w:val="auto"/>
        </w:rPr>
      </w:pPr>
    </w:p>
    <w:p>
      <w:pPr>
        <w:ind w:right="3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2" w:name="page33"/>
    <w:bookmarkEnd w:id="32"/>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Controlled Group</w:t>
      </w:r>
      <w:r>
        <w:rPr>
          <w:rFonts w:ascii="Times New Roman" w:cs="Times New Roman" w:eastAsia="Times New Roman" w:hAnsi="Times New Roman"/>
          <w:sz w:val="18"/>
          <w:szCs w:val="18"/>
          <w:color w:val="auto"/>
        </w:rPr>
        <w:t>” means all members of a controlled group of corporations and all members of a controlled group of trades or businesses (whether or not incorporated) under common control which, together with APA, are treated as a single employer under Section 414(b) or 414(c) of the Internal Revenue Code or Section 4001 of ERISA.</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Co-Syndication Agents</w:t>
      </w:r>
      <w:r>
        <w:rPr>
          <w:rFonts w:ascii="Times New Roman" w:cs="Times New Roman" w:eastAsia="Times New Roman" w:hAnsi="Times New Roman"/>
          <w:sz w:val="18"/>
          <w:szCs w:val="18"/>
          <w:color w:val="auto"/>
        </w:rPr>
        <w:t>” means each of Citibank, N.A. and Wells Fargo Bank, National Association, in its capacity as syndication agent.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with respect to any Lender at any time, the sum calculated in US Dollars of the outstanding principal amount of such Lender’s Loans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or any Lender.</w:t>
      </w:r>
    </w:p>
    <w:p>
      <w:pPr>
        <w:spacing w:after="0" w:line="225"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9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of any Person means indebtedness, including capital leases, shown as debt on a consolidated balance sheet of such Person prepared in accordance with GAAP.</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as reasonably determined by the Administrative Agent in consultation with APA, any Lender that (a) has failed, within two (2)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Borrower or any Credit Party in writing, or has made a public statement to the effect, that it does not intend or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3" w:name="page34"/>
    <w:bookmarkEnd w:id="33"/>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w:t>
      </w:r>
    </w:p>
    <w:p>
      <w:pPr>
        <w:spacing w:after="0" w:line="2" w:lineRule="exact"/>
        <w:rPr>
          <w:sz w:val="20"/>
          <w:szCs w:val="20"/>
          <w:color w:val="auto"/>
        </w:rPr>
      </w:pPr>
    </w:p>
    <w:p>
      <w:pPr>
        <w:ind w:left="4" w:hanging="4"/>
        <w:spacing w:after="0" w:line="251"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request by the Administrative Agent, acting in good faith, to confirm in a manner reasonably satisfactory to the Administrative Agent that it will comply with its obligations (and is financially able to meet such obligations) to fund prospective Loans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(i) the Administrative Agent’s receipt of such confirmation, and (ii) compliance in full by such Lender with its funding obligations under this Agreement as of the date of such confirmation (subject to any exception to funding set forth in clause (a) above), or (d) has become the subject of (A) a Bankruptcy Event or (B)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reason of events relating to a parent company of such Lender or solely because a governmental authority has been appointed as receiver, conservator, trustee or custodian for such Lender, in each case as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if and for so long as both the Administrative Agent and APA, each in its sole and absolute discretion, is satisfied that such Lender will continue to perform its obligations hereunder relating to Loans, such mutual satisfaction being evidenced by written confirmation signed and delivered by the Administrative Agent and APA to the other, either of which may revoke such confirmation by written notice delivered to the other, upon which such Lender will again be a Defaulting Lender.</w:t>
      </w:r>
    </w:p>
    <w:p>
      <w:pPr>
        <w:spacing w:after="0" w:line="192"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Agreement are satisfied (or waived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this Agreement), which date is January 30, 2024.</w:t>
      </w:r>
    </w:p>
    <w:p>
      <w:pPr>
        <w:spacing w:after="0" w:line="162"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Notice</w:t>
      </w:r>
      <w:r>
        <w:rPr>
          <w:rFonts w:ascii="Times New Roman" w:cs="Times New Roman" w:eastAsia="Times New Roman" w:hAnsi="Times New Roman"/>
          <w:sz w:val="18"/>
          <w:szCs w:val="18"/>
          <w:color w:val="auto"/>
        </w:rPr>
        <w:t xml:space="preserve">” means a notice and certificate of APA properly executed by an Authorized Officer of APA addressed to the Lenders and delivered to the Administrative Agent, whereby APA certifies satisfaction of all the conditions precedent to the effectiveness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34" w:name="page35"/>
    <w:bookmarkEnd w:id="34"/>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applicable federal, state or local statutes, laws, ordinances, codes, rules, regulations, decrees, judgments, injunctions, legally binding notices or legally binding agreements issued, promulgated or entered into by any Governmental Authority, relating in any way to the protection of the environment, preservation or reclamation of natural resources, the management, release or threatened release of any Hazardous Material or to health and safety matters relating to the exposure of Hazardous Material.</w:t>
      </w:r>
    </w:p>
    <w:p>
      <w:pPr>
        <w:spacing w:after="0" w:line="180"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any successor statute of similar import, together with the rules, regulations and interpretations thereunder, in each case as in effect from time to time.</w:t>
      </w:r>
    </w:p>
    <w:p>
      <w:pPr>
        <w:spacing w:after="0" w:line="162"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Taxes</w:t>
      </w:r>
      <w:r>
        <w:rPr>
          <w:rFonts w:ascii="Times New Roman" w:cs="Times New Roman" w:eastAsia="Times New Roman" w:hAnsi="Times New Roman"/>
          <w:sz w:val="17"/>
          <w:szCs w:val="17"/>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ind w:left="4" w:hanging="4"/>
        <w:spacing w:after="0" w:line="265" w:lineRule="auto"/>
        <w:tabs>
          <w:tab w:leader="none" w:pos="25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7"/>
          <w:szCs w:val="17"/>
          <w:u w:val="single" w:color="auto"/>
          <w:color w:val="auto"/>
        </w:rPr>
        <w:t>Section 2.18(b)</w:t>
      </w:r>
      <w:r>
        <w:rPr>
          <w:rFonts w:ascii="Times New Roman" w:cs="Times New Roman" w:eastAsia="Times New Roman" w:hAnsi="Times New Roman"/>
          <w:sz w:val="17"/>
          <w:szCs w:val="17"/>
          <w:color w:val="auto"/>
        </w:rPr>
        <w:t xml:space="preserve">) or (ii) such Lender changes its lending office, except in each case to the extent that, pursuant to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amounts with respect to such Taxes were payable either to such Lender’s assignor immediately before such Lender acquired the applicable interest in a Loan or Commitment or to such Lender immediately before it changed its lending office,</w:t>
      </w:r>
    </w:p>
    <w:p>
      <w:pPr>
        <w:ind w:left="244" w:hanging="244"/>
        <w:spacing w:after="0"/>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attributable to such Recipient’s failure to comply with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 and (d) any U.S. Federal withholding Taxes imposed under FATCA.</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35" w:name="page36"/>
    <w:bookmarkEnd w:id="35"/>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Credit Facility</w:t>
      </w:r>
      <w:r>
        <w:rPr>
          <w:rFonts w:ascii="Times New Roman" w:cs="Times New Roman" w:eastAsia="Times New Roman" w:hAnsi="Times New Roman"/>
          <w:sz w:val="18"/>
          <w:szCs w:val="18"/>
          <w:color w:val="auto"/>
        </w:rPr>
        <w:t>” means that certain Amended and Restated Credit Agreement, dated as of October 19, 2022, among the Target, as borrower, JPMorgan Chase Bank, N.A., as administrative agent, and the lenders party thereto.</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the NYFRB shall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purposes of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zero percent (0.0%).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U.S. Person.</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applied on a basis consistent with the most recent financial statements of APA and its Subsidiaries delivered to the Lenders pursuant 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Faith</w:t>
      </w:r>
      <w:r>
        <w:rPr>
          <w:rFonts w:ascii="Times New Roman" w:cs="Times New Roman" w:eastAsia="Times New Roman" w:hAnsi="Times New Roman"/>
          <w:sz w:val="18"/>
          <w:szCs w:val="18"/>
          <w:color w:val="auto"/>
        </w:rPr>
        <w:t>” means honesty in fact in the conduct of the transaction concerned.</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means Apache and, only to the extent required by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Target.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the Apache Guaranty and, only to the extent required by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Target Guaranty, in each case, as the same may from time to time be amended, supplemented, restated, reaffirmed or otherwise modified.</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 any “hazardous substance,” as defined by CERCLA; (b) any “hazardous waste,” as defined by the Resource Conservation and Recovery Act; or (c) any pollutant or contaminant or hazardous, dangerous or toxic chemical, material or substance within the meaning of any other Environmental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60"/>
          </w:cols>
          <w:pgMar w:left="440" w:top="270" w:right="59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10.13(ii)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all (i) Debt, and (ii) guaranties or other contingent obligations in respect of the Debt of any other Person.</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Borrower under any Loan Document and (b) to the extent not otherwise described in clause (a) hereof, Other Taxes.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xml:space="preserve">” means senior, unsecured, non-credit enhanced, long-term indebtedness for borrowed money of APA that is not guaranteed by any other Person or subject to any other credit enhancement;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(i) there is no rating for such indebtedness from Moody’s and S&amp;P and (ii) the Apache Guaranty is in effect, then “Index Debt” means senior, unsecured, non-credit enhanced, long-term indebtedness for borrowed money of Apache that is not guaranteed by any other Person or subject to any other credit enhancement.</w:t>
      </w:r>
    </w:p>
    <w:p>
      <w:pPr>
        <w:spacing w:after="0" w:line="180"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Ineligible Institution</w:t>
      </w:r>
      <w:r>
        <w:rPr>
          <w:rFonts w:ascii="Times New Roman" w:cs="Times New Roman" w:eastAsia="Times New Roman" w:hAnsi="Times New Roman"/>
          <w:sz w:val="17"/>
          <w:szCs w:val="17"/>
          <w:color w:val="auto"/>
        </w:rPr>
        <w:t xml:space="preserve">” means (a) a natural person, (b) a Defaulting Lender or its Lender Parent, or (c) a company, investment vehicle or trust for, or owned and operated for the primary benefit of, a natural person or relative(s)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such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upon the occurrence and during the continuance of an Event of Default, any Person (other than a Lender) shall be an Ineligible Institution if after giving effect to any proposed assignment to such Person, such Person would hold more than 25% of the then outstanding Credit Exposure or Commitments, as the case may be.</w:t>
      </w:r>
    </w:p>
    <w:p>
      <w:pPr>
        <w:spacing w:after="0" w:line="172" w:lineRule="exact"/>
        <w:rPr>
          <w:sz w:val="20"/>
          <w:szCs w:val="20"/>
          <w:color w:val="auto"/>
        </w:rPr>
      </w:pPr>
    </w:p>
    <w:p>
      <w:pPr>
        <w:jc w:val="both"/>
        <w:ind w:right="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Acquired Business Debt Refinancing</w:t>
      </w:r>
      <w:r>
        <w:rPr>
          <w:rFonts w:ascii="Times New Roman" w:cs="Times New Roman" w:eastAsia="Times New Roman" w:hAnsi="Times New Roman"/>
          <w:sz w:val="17"/>
          <w:szCs w:val="17"/>
          <w:color w:val="auto"/>
        </w:rPr>
        <w:t>” means the repayment, redemption, discharge or defeasance, as applicable, of all outstanding Debt, accrued interest, fees and other amounts outstanding under (i) the Target’s Existing Credit Facility, and (ii) the Target’s 6.375% Senior Notes due 2026.</w:t>
      </w:r>
    </w:p>
    <w:p>
      <w:pPr>
        <w:spacing w:after="0" w:line="14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Borrower to convert or continue a Borrowing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right="80" w:firstLine="4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the Maturity Date and (b) with respect to any Term Benchmark Loan, the last day of each Interest Period applicable to the Borrowing of which such Loan is a part and, in the case of a Term Benchmark Borrowing with an Interest Period of more than three (3) months’ duration, each day prior to the last day of such Interest Period that occurs at intervals of three (3) months’ duration after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of such Interest Period, and the Maturity Date.</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37" w:name="page38"/>
    <w:bookmarkEnd w:id="3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or, with the consent of the Administrative Agent, such other day, in the calendar month that is one, three or six months thereafter (in each case, subject to the availability for the Benchmark applicable to the relevant Loan) or any other period agreeable to all Lenders, in each case as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means JPMorgan Chase Bank, N.A.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and any other Person that shall have become a party hereto pursuant to an Assignment and Assumption, other than any such Person that ceases to be a party hereto pursuant to an Assignment and Assumption or otherwise.</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pledge, lien, encumbrance, charge, or security interest of any kind, granted or created to secure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prohibitions of Liens on Property, the following transactions shall not be deemed to create a Lien to secure Indebtedness: (i) production payments and (ii) liens required by statute and created in favor of U.S. governmental entities to secure partial, progress, advance, or other payments intended to be used primarily in connection with air or water pollution control.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means any 364-Day Tranche Loans and any 3-Year Tranche Loans made by the Lenders to Borrower pursuant to this Agreement.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xml:space="preserve">” means this Agreement, the Apache Guaranty, until it has terminated in accordance with its terms, the Target Guaranty (to the extent required by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until it has terminated in accordance with its terms), any Borrowing Request, any Interest Election Request, any Assignment and Assumption, any election notice, and the agreement with respect to fees described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as such may be amended, restated, supplemented or otherwise modified from time to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8" w:name="page39"/>
    <w:bookmarkEnd w:id="3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xml:space="preserve">” means the (i) Borrower, (ii) until the termination of the Apache Guaranty in accordance with its terms, Apache, and (iii) only to the extent required by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until the termination of the Target Guaranty in accordance with its terms, the Target.</w:t>
      </w:r>
    </w:p>
    <w:p>
      <w:pPr>
        <w:spacing w:after="0" w:line="16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as to any matter, that such matter could reasonably be expected to materially and adversely affect the assets, business, properties, condition (financial or otherwise) of APA and its Subsidiaries taken as a whole. No matter shall be considered to result, or be expected to result, in a Material Adverse Effect unless such matter causes APA and its Subsidiaries, on a consolidated basis, to suffer a loss or incur a cost equal to at least ten percent (10%) of Consolidated Tangible Net Worth.</w:t>
      </w:r>
    </w:p>
    <w:p>
      <w:pPr>
        <w:spacing w:after="0" w:line="180"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earlier of (a)(i) in the case of 364-Day Tranche Loans, the date that is 364 days after the Closing Date and (ii) in the case of 3-Year Tranche Loans, the date that is three years after the Closing Date and (b) the date on which the maturity of the Loans is accelerated in accordance with the terms 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 that is a nationally recognized rating agency in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xml:space="preserve">” means the website of the NYFRB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of the aforesaid rates shall be less than zero, such rate shall be deemed to be zero for purposes of this Agreement.</w:t>
      </w:r>
    </w:p>
    <w:p>
      <w:pPr>
        <w:spacing w:after="0" w:line="17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at any time, the sum of (i) the outstanding principal amount of any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all accrued and unpaid interest, Ticking Fees and other fees due pursuant to </w:t>
      </w:r>
      <w:r>
        <w:rPr>
          <w:rFonts w:ascii="Times New Roman" w:cs="Times New Roman" w:eastAsia="Times New Roman" w:hAnsi="Times New Roman"/>
          <w:sz w:val="18"/>
          <w:szCs w:val="18"/>
          <w:u w:val="single" w:color="auto"/>
          <w:color w:val="auto"/>
        </w:rPr>
        <w:t>Section 2.11 plus</w:t>
      </w:r>
      <w:r>
        <w:rPr>
          <w:rFonts w:ascii="Times New Roman" w:cs="Times New Roman" w:eastAsia="Times New Roman" w:hAnsi="Times New Roman"/>
          <w:sz w:val="18"/>
          <w:szCs w:val="18"/>
          <w:color w:val="auto"/>
        </w:rPr>
        <w:t xml:space="preserve"> (iii) all other obligations of the Borrower or any Subsidiary to any Lender or any Agent, whether or not contingent, arising under or in connection with any of the Loan Documents.</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Acquired Business Debt Refinancing</w:t>
      </w:r>
      <w:r>
        <w:rPr>
          <w:rFonts w:ascii="Times New Roman" w:cs="Times New Roman" w:eastAsia="Times New Roman" w:hAnsi="Times New Roman"/>
          <w:sz w:val="18"/>
          <w:szCs w:val="18"/>
          <w:color w:val="auto"/>
        </w:rPr>
        <w:t>” means the repayment, redemption, discharge or defeasance, as applicable, of outstanding Debt, accrued interest, fees and other amounts outstanding under (i) the Target’s 7.50% Senior Notes due 2030 and (ii) the Target’s 8.00% Senior Notes due 2028.</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9" w:name="page40"/>
    <w:bookmarkEnd w:id="39"/>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 “pension plan,” as such term is defined in Section 3(2) of ERISA, which is subject to Title IV of ERISA (other than a multiemployer plan as defined in Section 4001(a)(3) of ERISA), and to which Borrower or any corporation, trade or business that is, along with Borrower, a member of a Controlled Group, may have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unlimited liability company, joint venture, partnership, association, trust, company, firm, Governmental Authority or any other entity, whether acting in an individual, fiduciary or other capacity.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per annum publicly announced from time to time by the Administrative Agent as its prime rate in effect at its principal office in New York City, or, if Administrative Agent ceases to quote such rate, the rate of interest last quoted by Bloomberg as the “Prime Rate” in the U.S. or, if Bloomberg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in its reasonable discretion) or any similar release by the Federal Reserve Board (as determined by the Administrative Agent in its reasonable discretion). Each change in the Prime Rate shall be effective from and including the date such change is publicly announced or quoted as being effective.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0" w:name="page41"/>
    <w:bookmarkEnd w:id="40"/>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(i) any property owned or leased by APA or any Subsidiary, or any interest of APA or any Subsidiary in property, which is considered by APA to be capable of producing oil, gas, or minerals in commercial quantities, (ii) any interest of APA or any Subsidiary in any refinery, processing or manufacturing plant owned or leased by APA or any manufacturing plant owned or leased by APA or any Subsidiary, (iii) any interest of APA or any Subsidiary in all present and future oil, gas, other liquid and gaseous hydrocarbons, and other minerals now or hereafter produced from any other Property or to which APA or any Subsidiary may be entitled as a result of its ownership of any Property, and (iv) all real and personal assets owned or leased by APA or any Subsidiary used in the drilling, gathering, processing, transportation, or marketing of any oil, gas, and other hydrocarbons or minerals, except (a) any such real or personal assets related thereto employed in transportation, distribution or marketing or (b) any interest of APA or any Subsidiary in, any refinery, processing or manufacturing plant, or portion thereof, which property described in clauses (a) or (b), in the opinion of the board of directors of APA, is not a principal plant or principal facility in relation to the activities of APA and its Subsidiaries taken as a whole.</w:t>
      </w:r>
    </w:p>
    <w:p>
      <w:pPr>
        <w:spacing w:after="0" w:line="194"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and (b) any Lender, as applicable.</w:t>
      </w:r>
    </w:p>
    <w:p>
      <w:pPr>
        <w:spacing w:after="0" w:line="225" w:lineRule="exact"/>
        <w:rPr>
          <w:sz w:val="20"/>
          <w:szCs w:val="20"/>
          <w:color w:val="auto"/>
        </w:rPr>
      </w:pPr>
    </w:p>
    <w:p>
      <w:pPr>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Reference Time</w:t>
      </w:r>
      <w:r>
        <w:rPr>
          <w:rFonts w:ascii="Times New Roman" w:cs="Times New Roman" w:eastAsia="Times New Roman" w:hAnsi="Times New Roman"/>
          <w:sz w:val="17"/>
          <w:szCs w:val="17"/>
          <w:color w:val="auto"/>
        </w:rPr>
        <w:t>” means with respect to any setting of the then-current Benchmark means (1) if such Benchmark is the Term SOFR Rate, 5:00 a.m. (Chicago time) on the day that is two Business Days preceding the date of such setting, (2) if such Benchmark is Daily Simple SOFR, then five</w:t>
      </w:r>
    </w:p>
    <w:p>
      <w:pPr>
        <w:spacing w:after="0" w:line="1" w:lineRule="exact"/>
        <w:rPr>
          <w:sz w:val="20"/>
          <w:szCs w:val="20"/>
          <w:color w:val="auto"/>
        </w:rPr>
      </w:pPr>
    </w:p>
    <w:p>
      <w:pPr>
        <w:ind w:left="4" w:right="220" w:hanging="4"/>
        <w:spacing w:after="0" w:line="260"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setting, or (3) if such Benchmark is none of the Term SOFR Rate or Daily Simple SOFR, the time determined by the Administrative Agent in its reasonable discretion.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any of Regulations T, U or X of the Board from time to time in effect and shall include any successor or other regulations or official interpretations of said Board or any successor Person relating to the extension of credit for the purpose of purchasing or carrying margin stocks applicable to member banks of the Federal Reserve System or any successor Person.</w:t>
      </w:r>
    </w:p>
    <w:p>
      <w:pPr>
        <w:spacing w:after="0" w:line="176"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Term Benchmark Borrowing, the Adjusted Term SOFR Rate.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4"/>
          </w:cols>
          <w:pgMar w:left="436" w:top="270" w:right="53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Reporting Company</w:t>
      </w:r>
      <w:r>
        <w:rPr>
          <w:rFonts w:ascii="Times New Roman" w:cs="Times New Roman" w:eastAsia="Times New Roman" w:hAnsi="Times New Roman"/>
          <w:sz w:val="18"/>
          <w:szCs w:val="18"/>
          <w:color w:val="auto"/>
        </w:rPr>
        <w:t>” means Apache while it continues to elect to file periodic reports with the SEC under the Securities Exchange Act.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at any time, Lenders having Credit Exposures and unused Commitments representing more than 50% of the sum of the aggregate Credit Exposure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determining the Required Lenders needed for any waiver, amendment, modification or consent, any Lender that is the Borrower or an Affiliate of the Borrower shall be disregarded.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Resource Conservation and Recovery Act</w:t>
      </w:r>
      <w:r>
        <w:rPr>
          <w:rFonts w:ascii="Times New Roman" w:cs="Times New Roman" w:eastAsia="Times New Roman" w:hAnsi="Times New Roman"/>
          <w:sz w:val="18"/>
          <w:szCs w:val="18"/>
          <w:color w:val="auto"/>
        </w:rPr>
        <w:t>” means the Resource Conservation and Recovery Act, 42 U.S.C. Section 690, et seq., as amended from time to time.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APA that owns any asset representing or consisting of an entitlement to production from, or other interest in, reserves of oil, gas or other minerals in place located in the United States or Canada or is otherwise designated by APA in writing to the Administrative Agent.</w:t>
      </w:r>
    </w:p>
    <w:p>
      <w:pPr>
        <w:spacing w:after="0" w:line="176"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the so - called Donetsk People’s Republic, the so-called Luhansk People’s Republic, the Crimea Region of Ukraine, Cuba, Iran, North Korea, Sudan and Syria).</w:t>
      </w:r>
    </w:p>
    <w:p>
      <w:pPr>
        <w:spacing w:after="0" w:line="176"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means, at any time, (a) any Person or vessel with whom Borrower cannot do business due to the person or vessel being listed in any Sanctions-related list of designated Persons maintained by the Office of Foreign Assets Control of the U.S. Department of the Treasury, the U.S. Department of State, or by United Nations Security Council, the European Union, any European Union member state or His Majesty’s Treasury of the United Kingdom, (b) any Person with whom Borrower cannot do business due to the Person operating, organized or resident in a Sanctioned Country or (c) any Person that Borrower knows is owned 50 percent or more by any Person or Persons described in the foregoing clauses (a) or (b).</w:t>
      </w:r>
    </w:p>
    <w:p>
      <w:pPr>
        <w:spacing w:after="0" w:line="168"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means the Securities Exchange Act of 1934 and the rules of the SEC thereunder.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2" w:name="page43"/>
    <w:bookmarkEnd w:id="42"/>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with respect to any Business Day, a rate equal to the secured overnight financing rate for such Business Day published by the NYFRB on the SOFR Administrator’s Website on the immediately preceding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has the meaning specified in the definition of “Daily Simple SOFR”.</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made by the Borrower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(solely with respect to the Borrower),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3.2(b)(iv)</w:t>
      </w:r>
      <w:r>
        <w:rPr>
          <w:rFonts w:ascii="Times New Roman" w:cs="Times New Roman" w:eastAsia="Times New Roman" w:hAnsi="Times New Roman"/>
          <w:sz w:val="18"/>
          <w:szCs w:val="18"/>
          <w:color w:val="auto"/>
        </w:rPr>
        <w:t xml:space="preserve">, the last sentence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(with respect to the second sentence therein),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and any successor thereto that is a nationally recognized rating agency.</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at a given time, any corporation, partnership, limited liability company or other similar entity of which more than 50% of the outstanding capital stock (or other equity) having ordinary voting power to elect a majority of the board of directors, managers or similar governing body or management of such corporation, partnership, limited liability company or entity (irrespective of whether or not at the time capital stock (or other equity) or any other class or classes of equity of such corporation, partnership, limited liability company or entity shall or might have voting power upon the occurrence of any contingency) is at the time directly or indirectly owned by such Person.</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APA;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all events the following Persons shall not be deemed to be Subsidiaries of APA or any of its Subsidiaries: Apache Offshore Investment Partnership, a Delaware general partnership, and Apache Offshore Petroleum Limited Partnership, a Delaware limited partnership.</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means Callon Petroleum Company, a Delaware corporation.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43" w:name="page44"/>
    <w:bookmarkEnd w:id="43"/>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Target Guaranty</w:t>
      </w:r>
      <w:r>
        <w:rPr>
          <w:rFonts w:ascii="Times New Roman" w:cs="Times New Roman" w:eastAsia="Times New Roman" w:hAnsi="Times New Roman"/>
          <w:sz w:val="18"/>
          <w:szCs w:val="18"/>
          <w:color w:val="auto"/>
        </w:rPr>
        <w:t xml:space="preserve">” means that certain Guaranty by Target in favor of the Lenders and the other Lender Parties (as defined therein), in substantially the form of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or any other form approved by the Administrative Agent, as such Guaranty may from time to time be amended, supplemented, restated, reaffirmed or otherwise modified.</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xml:space="preserve">” when used in reference to any Loan or Borrowing, refers to whether such Loan, or the Loans comprising such Borrowing, are bearing interest at a rate determined by reference to the Adjusted Term SOFR Rate, other than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“Alternate Base Rate”.</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 Margin</w:t>
      </w:r>
      <w:r>
        <w:rPr>
          <w:rFonts w:ascii="Times New Roman" w:cs="Times New Roman" w:eastAsia="Times New Roman" w:hAnsi="Times New Roman"/>
          <w:sz w:val="18"/>
          <w:szCs w:val="18"/>
          <w:color w:val="auto"/>
        </w:rPr>
        <w:t>” means, for any day, for each Class of Loans, the applicable rate per annum set forth below for such Class of Loans based upon the Applicable Rating Level, applicable on such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60" w:type="dxa"/>
            <w:vAlign w:val="bottom"/>
            <w:gridSpan w:val="11"/>
          </w:tcPr>
          <w:p>
            <w:pPr>
              <w:jc w:val="center"/>
              <w:ind w:right="720"/>
              <w:spacing w:after="0"/>
              <w:rPr>
                <w:sz w:val="20"/>
                <w:szCs w:val="20"/>
                <w:color w:val="auto"/>
              </w:rPr>
            </w:pPr>
            <w:r>
              <w:rPr>
                <w:rFonts w:ascii="Times New Roman" w:cs="Times New Roman" w:eastAsia="Times New Roman" w:hAnsi="Times New Roman"/>
                <w:sz w:val="14"/>
                <w:szCs w:val="14"/>
                <w:color w:val="auto"/>
              </w:rPr>
              <w:t>364-Day Tranche</w:t>
            </w: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5"/>
          </w:tcPr>
          <w:p>
            <w:pPr>
              <w:jc w:val="center"/>
              <w:ind w:right="340"/>
              <w:spacing w:after="0" w:line="129" w:lineRule="exact"/>
              <w:rPr>
                <w:sz w:val="20"/>
                <w:szCs w:val="20"/>
                <w:color w:val="auto"/>
              </w:rPr>
            </w:pPr>
            <w:r>
              <w:rPr>
                <w:rFonts w:ascii="Times New Roman" w:cs="Times New Roman" w:eastAsia="Times New Roman" w:hAnsi="Times New Roman"/>
                <w:sz w:val="14"/>
                <w:szCs w:val="14"/>
                <w:color w:val="auto"/>
                <w:w w:val="99"/>
              </w:rPr>
              <w:t>Loans</w:t>
            </w:r>
          </w:p>
        </w:tc>
        <w:tc>
          <w:tcPr>
            <w:tcW w:w="22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3"/>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auto"/>
                <w:w w:val="96"/>
              </w:rPr>
              <w:t>Margin</w:t>
            </w:r>
          </w:p>
        </w:tc>
        <w:tc>
          <w:tcPr>
            <w:tcW w:w="700" w:type="dxa"/>
            <w:vAlign w:val="bottom"/>
            <w:gridSpan w:val="2"/>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3-Year Tranche Loans</w:t>
            </w:r>
          </w:p>
        </w:tc>
        <w:tc>
          <w:tcPr>
            <w:tcW w:w="23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Applicable Rating Level</w:t>
            </w: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Borders>
              <w:bottom w:val="single" w:sz="8" w:color="auto"/>
            </w:tcBorders>
            <w:gridSpan w:val="6"/>
          </w:tcPr>
          <w:p>
            <w:pPr>
              <w:spacing w:after="0" w:line="129" w:lineRule="exact"/>
              <w:rPr>
                <w:sz w:val="20"/>
                <w:szCs w:val="20"/>
                <w:color w:val="auto"/>
              </w:rPr>
            </w:pPr>
            <w:r>
              <w:rPr>
                <w:rFonts w:ascii="Times New Roman" w:cs="Times New Roman" w:eastAsia="Times New Roman" w:hAnsi="Times New Roman"/>
                <w:sz w:val="14"/>
                <w:szCs w:val="14"/>
                <w:color w:val="auto"/>
                <w:w w:val="89"/>
              </w:rPr>
              <w:t>Term Benchmark</w:t>
            </w:r>
          </w:p>
        </w:tc>
        <w:tc>
          <w:tcPr>
            <w:tcW w:w="560" w:type="dxa"/>
            <w:vAlign w:val="bottom"/>
            <w:tcBorders>
              <w:bottom w:val="single" w:sz="8" w:color="auto"/>
            </w:tcBorders>
            <w:gridSpan w:val="3"/>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4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7"/>
          </w:tcPr>
          <w:p>
            <w:pPr>
              <w:jc w:val="center"/>
              <w:ind w:right="280"/>
              <w:spacing w:after="0" w:line="129" w:lineRule="exact"/>
              <w:rPr>
                <w:sz w:val="20"/>
                <w:szCs w:val="20"/>
                <w:color w:val="auto"/>
              </w:rPr>
            </w:pPr>
            <w:r>
              <w:rPr>
                <w:rFonts w:ascii="Times New Roman" w:cs="Times New Roman" w:eastAsia="Times New Roman" w:hAnsi="Times New Roman"/>
                <w:sz w:val="14"/>
                <w:szCs w:val="14"/>
                <w:color w:val="auto"/>
              </w:rPr>
              <w:t>(in basis points)</w:t>
            </w:r>
          </w:p>
        </w:tc>
        <w:tc>
          <w:tcPr>
            <w:tcW w:w="700" w:type="dxa"/>
            <w:vAlign w:val="bottom"/>
            <w:gridSpan w:val="2"/>
          </w:tcPr>
          <w:p>
            <w:pPr>
              <w:spacing w:after="0"/>
              <w:rPr>
                <w:sz w:val="14"/>
                <w:szCs w:val="14"/>
                <w:color w:val="auto"/>
              </w:rPr>
            </w:pPr>
          </w:p>
        </w:tc>
        <w:tc>
          <w:tcPr>
            <w:tcW w:w="1720" w:type="dxa"/>
            <w:vAlign w:val="bottom"/>
          </w:tcPr>
          <w:p>
            <w:pPr>
              <w:spacing w:after="0"/>
              <w:rPr>
                <w:sz w:val="14"/>
                <w:szCs w:val="14"/>
                <w:color w:val="auto"/>
              </w:rPr>
            </w:pPr>
          </w:p>
        </w:tc>
        <w:tc>
          <w:tcPr>
            <w:tcW w:w="4140" w:type="dxa"/>
            <w:vAlign w:val="bottom"/>
            <w:gridSpan w:val="6"/>
          </w:tcPr>
          <w:p>
            <w:pPr>
              <w:jc w:val="right"/>
              <w:ind w:right="1668"/>
              <w:spacing w:after="0" w:line="129" w:lineRule="exact"/>
              <w:rPr>
                <w:sz w:val="20"/>
                <w:szCs w:val="20"/>
                <w:color w:val="auto"/>
              </w:rPr>
            </w:pPr>
            <w:r>
              <w:rPr>
                <w:rFonts w:ascii="Times New Roman" w:cs="Times New Roman" w:eastAsia="Times New Roman" w:hAnsi="Times New Roman"/>
                <w:sz w:val="14"/>
                <w:szCs w:val="14"/>
                <w:color w:val="auto"/>
              </w:rPr>
              <w:t>Term Benchmark Margin (in basis points)</w:t>
            </w:r>
          </w:p>
        </w:tc>
        <w:tc>
          <w:tcPr>
            <w:tcW w:w="0" w:type="dxa"/>
            <w:vAlign w:val="bottom"/>
          </w:tcPr>
          <w:p>
            <w:pPr>
              <w:spacing w:after="0"/>
              <w:rPr>
                <w:sz w:val="1"/>
                <w:szCs w:val="1"/>
                <w:color w:val="auto"/>
              </w:rPr>
            </w:pPr>
          </w:p>
        </w:tc>
      </w:tr>
      <w:tr>
        <w:trPr>
          <w:trHeight w:val="106"/>
        </w:trPr>
        <w:tc>
          <w:tcPr>
            <w:tcW w:w="1420" w:type="dxa"/>
            <w:vAlign w:val="bottom"/>
            <w:tcBorders>
              <w:top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80" w:type="dxa"/>
            <w:vAlign w:val="bottom"/>
            <w:tcBorders>
              <w:top w:val="single" w:sz="8" w:color="auto"/>
            </w:tcBorders>
            <w:gridSpan w:val="2"/>
          </w:tcPr>
          <w:p>
            <w:pPr>
              <w:jc w:val="center"/>
              <w:ind w:left="380"/>
              <w:spacing w:after="0" w:line="106" w:lineRule="exact"/>
              <w:rPr>
                <w:sz w:val="20"/>
                <w:szCs w:val="20"/>
                <w:color w:val="auto"/>
              </w:rPr>
            </w:pPr>
            <w:r>
              <w:rPr>
                <w:rFonts w:ascii="Times New Roman" w:cs="Times New Roman" w:eastAsia="Times New Roman" w:hAnsi="Times New Roman"/>
                <w:sz w:val="12"/>
                <w:szCs w:val="12"/>
                <w:color w:val="auto"/>
              </w:rPr>
              <w:t>From the Closing</w:t>
            </w:r>
          </w:p>
        </w:tc>
        <w:tc>
          <w:tcPr>
            <w:tcW w:w="4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300" w:type="dxa"/>
            <w:vAlign w:val="bottom"/>
            <w:tcBorders>
              <w:top w:val="single" w:sz="8" w:color="auto"/>
            </w:tcBorders>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After the date that is</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jc w:val="center"/>
              <w:ind w:left="380"/>
              <w:spacing w:after="0" w:line="149" w:lineRule="exact"/>
              <w:rPr>
                <w:sz w:val="20"/>
                <w:szCs w:val="20"/>
                <w:color w:val="auto"/>
              </w:rPr>
            </w:pPr>
            <w:r>
              <w:rPr>
                <w:rFonts w:ascii="Times New Roman" w:cs="Times New Roman" w:eastAsia="Times New Roman" w:hAnsi="Times New Roman"/>
                <w:sz w:val="14"/>
                <w:szCs w:val="14"/>
                <w:color w:val="auto"/>
              </w:rPr>
              <w:t>Date until the date</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jc w:val="center"/>
              <w:ind w:left="380"/>
              <w:spacing w:after="0" w:line="149" w:lineRule="exact"/>
              <w:rPr>
                <w:sz w:val="20"/>
                <w:szCs w:val="20"/>
                <w:color w:val="auto"/>
              </w:rPr>
            </w:pPr>
            <w:r>
              <w:rPr>
                <w:rFonts w:ascii="Times New Roman" w:cs="Times New Roman" w:eastAsia="Times New Roman" w:hAnsi="Times New Roman"/>
                <w:sz w:val="14"/>
                <w:szCs w:val="14"/>
                <w:color w:val="auto"/>
              </w:rPr>
              <w:t>that is the second</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jc w:val="center"/>
              <w:ind w:right="628"/>
              <w:spacing w:after="0" w:line="149" w:lineRule="exact"/>
              <w:rPr>
                <w:sz w:val="20"/>
                <w:szCs w:val="20"/>
                <w:color w:val="auto"/>
              </w:rPr>
            </w:pPr>
            <w:r>
              <w:rPr>
                <w:rFonts w:ascii="Times New Roman" w:cs="Times New Roman" w:eastAsia="Times New Roman" w:hAnsi="Times New Roman"/>
                <w:sz w:val="14"/>
                <w:szCs w:val="14"/>
                <w:color w:val="auto"/>
              </w:rPr>
              <w:t>the second</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jc w:val="center"/>
              <w:ind w:left="380"/>
              <w:spacing w:after="0" w:line="149" w:lineRule="exact"/>
              <w:rPr>
                <w:sz w:val="20"/>
                <w:szCs w:val="20"/>
                <w:color w:val="auto"/>
              </w:rPr>
            </w:pPr>
            <w:r>
              <w:rPr>
                <w:rFonts w:ascii="Times New Roman" w:cs="Times New Roman" w:eastAsia="Times New Roman" w:hAnsi="Times New Roman"/>
                <w:sz w:val="14"/>
                <w:szCs w:val="14"/>
                <w:color w:val="auto"/>
              </w:rPr>
              <w:t>anniversary of the</w:t>
            </w: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anniversary of the</w:t>
            </w:r>
          </w:p>
        </w:tc>
        <w:tc>
          <w:tcPr>
            <w:tcW w:w="0" w:type="dxa"/>
            <w:vAlign w:val="bottom"/>
          </w:tcPr>
          <w:p>
            <w:pPr>
              <w:spacing w:after="0"/>
              <w:rPr>
                <w:sz w:val="1"/>
                <w:szCs w:val="1"/>
                <w:color w:val="auto"/>
              </w:rPr>
            </w:pPr>
          </w:p>
        </w:tc>
      </w:tr>
      <w:tr>
        <w:trPr>
          <w:trHeight w:val="185"/>
        </w:trPr>
        <w:tc>
          <w:tcPr>
            <w:tcW w:w="1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2"/>
          </w:tcPr>
          <w:p>
            <w:pPr>
              <w:jc w:val="center"/>
              <w:ind w:left="380"/>
              <w:spacing w:after="0"/>
              <w:rPr>
                <w:sz w:val="20"/>
                <w:szCs w:val="20"/>
                <w:color w:val="auto"/>
              </w:rPr>
            </w:pPr>
            <w:r>
              <w:rPr>
                <w:rFonts w:ascii="Times New Roman" w:cs="Times New Roman" w:eastAsia="Times New Roman" w:hAnsi="Times New Roman"/>
                <w:sz w:val="14"/>
                <w:szCs w:val="14"/>
                <w:color w:val="auto"/>
              </w:rPr>
              <w:t>Closing Date</w:t>
            </w:r>
          </w:p>
        </w:tc>
        <w:tc>
          <w:tcPr>
            <w:tcW w:w="460" w:type="dxa"/>
            <w:vAlign w:val="bottom"/>
            <w:tcBorders>
              <w:bottom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28"/>
              <w:spacing w:after="0"/>
              <w:rPr>
                <w:sz w:val="20"/>
                <w:szCs w:val="20"/>
                <w:color w:val="auto"/>
              </w:rPr>
            </w:pPr>
            <w:r>
              <w:rPr>
                <w:rFonts w:ascii="Times New Roman" w:cs="Times New Roman" w:eastAsia="Times New Roman" w:hAnsi="Times New Roman"/>
                <w:sz w:val="14"/>
                <w:szCs w:val="14"/>
                <w:color w:val="auto"/>
              </w:rPr>
              <w:t>Closing Date</w:t>
            </w:r>
          </w:p>
        </w:tc>
        <w:tc>
          <w:tcPr>
            <w:tcW w:w="0" w:type="dxa"/>
            <w:vAlign w:val="bottom"/>
          </w:tcPr>
          <w:p>
            <w:pPr>
              <w:spacing w:after="0"/>
              <w:rPr>
                <w:sz w:val="1"/>
                <w:szCs w:val="1"/>
                <w:color w:val="auto"/>
              </w:rPr>
            </w:pPr>
          </w:p>
        </w:tc>
      </w:tr>
      <w:tr>
        <w:trPr>
          <w:trHeight w:val="30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Level I</w:t>
            </w:r>
          </w:p>
        </w:tc>
        <w:tc>
          <w:tcPr>
            <w:tcW w:w="3740" w:type="dxa"/>
            <w:vAlign w:val="bottom"/>
            <w:gridSpan w:val="13"/>
          </w:tcPr>
          <w:p>
            <w:pPr>
              <w:ind w:left="1000"/>
              <w:spacing w:after="0"/>
              <w:rPr>
                <w:sz w:val="20"/>
                <w:szCs w:val="20"/>
                <w:color w:val="auto"/>
              </w:rPr>
            </w:pPr>
            <w:r>
              <w:rPr>
                <w:rFonts w:ascii="Times New Roman" w:cs="Times New Roman" w:eastAsia="Times New Roman" w:hAnsi="Times New Roman"/>
                <w:sz w:val="18"/>
                <w:szCs w:val="18"/>
                <w:color w:val="auto"/>
              </w:rPr>
              <w:t>125.0 bps</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137.5 bps</w:t>
            </w:r>
          </w:p>
        </w:tc>
        <w:tc>
          <w:tcPr>
            <w:tcW w:w="460" w:type="dxa"/>
            <w:vAlign w:val="bottom"/>
          </w:tcPr>
          <w:p>
            <w:pPr>
              <w:spacing w:after="0"/>
              <w:rPr>
                <w:sz w:val="24"/>
                <w:szCs w:val="24"/>
                <w:color w:val="auto"/>
              </w:rPr>
            </w:pPr>
          </w:p>
        </w:tc>
        <w:tc>
          <w:tcPr>
            <w:tcW w:w="3120" w:type="dxa"/>
            <w:vAlign w:val="bottom"/>
            <w:gridSpan w:val="4"/>
          </w:tcPr>
          <w:p>
            <w:pPr>
              <w:jc w:val="right"/>
              <w:ind w:right="1648"/>
              <w:spacing w:after="0"/>
              <w:rPr>
                <w:sz w:val="20"/>
                <w:szCs w:val="20"/>
                <w:color w:val="auto"/>
              </w:rPr>
            </w:pPr>
            <w:r>
              <w:rPr>
                <w:rFonts w:ascii="Times New Roman" w:cs="Times New Roman" w:eastAsia="Times New Roman" w:hAnsi="Times New Roman"/>
                <w:sz w:val="18"/>
                <w:szCs w:val="18"/>
                <w:color w:val="auto"/>
              </w:rPr>
              <w:t>162.5 bps</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Level II</w:t>
            </w:r>
          </w:p>
        </w:tc>
        <w:tc>
          <w:tcPr>
            <w:tcW w:w="3740" w:type="dxa"/>
            <w:vAlign w:val="bottom"/>
            <w:gridSpan w:val="13"/>
          </w:tcPr>
          <w:p>
            <w:pPr>
              <w:ind w:left="1000"/>
              <w:spacing w:after="0"/>
              <w:rPr>
                <w:sz w:val="20"/>
                <w:szCs w:val="20"/>
                <w:color w:val="auto"/>
              </w:rPr>
            </w:pPr>
            <w:r>
              <w:rPr>
                <w:rFonts w:ascii="Times New Roman" w:cs="Times New Roman" w:eastAsia="Times New Roman" w:hAnsi="Times New Roman"/>
                <w:sz w:val="18"/>
                <w:szCs w:val="18"/>
                <w:color w:val="auto"/>
              </w:rPr>
              <w:t>137.5 bps</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150.0 bps</w:t>
            </w:r>
          </w:p>
        </w:tc>
        <w:tc>
          <w:tcPr>
            <w:tcW w:w="460" w:type="dxa"/>
            <w:vAlign w:val="bottom"/>
          </w:tcPr>
          <w:p>
            <w:pPr>
              <w:spacing w:after="0"/>
              <w:rPr>
                <w:sz w:val="24"/>
                <w:szCs w:val="24"/>
                <w:color w:val="auto"/>
              </w:rPr>
            </w:pPr>
          </w:p>
        </w:tc>
        <w:tc>
          <w:tcPr>
            <w:tcW w:w="3120" w:type="dxa"/>
            <w:vAlign w:val="bottom"/>
            <w:gridSpan w:val="4"/>
          </w:tcPr>
          <w:p>
            <w:pPr>
              <w:jc w:val="right"/>
              <w:ind w:right="1648"/>
              <w:spacing w:after="0"/>
              <w:rPr>
                <w:sz w:val="20"/>
                <w:szCs w:val="20"/>
                <w:color w:val="auto"/>
              </w:rPr>
            </w:pPr>
            <w:r>
              <w:rPr>
                <w:rFonts w:ascii="Times New Roman" w:cs="Times New Roman" w:eastAsia="Times New Roman" w:hAnsi="Times New Roman"/>
                <w:sz w:val="18"/>
                <w:szCs w:val="18"/>
                <w:color w:val="auto"/>
              </w:rPr>
              <w:t>175.0 bps</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Level III</w:t>
            </w:r>
          </w:p>
        </w:tc>
        <w:tc>
          <w:tcPr>
            <w:tcW w:w="3740" w:type="dxa"/>
            <w:vAlign w:val="bottom"/>
            <w:gridSpan w:val="13"/>
          </w:tcPr>
          <w:p>
            <w:pPr>
              <w:ind w:left="1000"/>
              <w:spacing w:after="0"/>
              <w:rPr>
                <w:sz w:val="20"/>
                <w:szCs w:val="20"/>
                <w:color w:val="auto"/>
              </w:rPr>
            </w:pPr>
            <w:r>
              <w:rPr>
                <w:rFonts w:ascii="Times New Roman" w:cs="Times New Roman" w:eastAsia="Times New Roman" w:hAnsi="Times New Roman"/>
                <w:sz w:val="18"/>
                <w:szCs w:val="18"/>
                <w:color w:val="auto"/>
              </w:rPr>
              <w:t>162.5 bps</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175.0 bps</w:t>
            </w:r>
          </w:p>
        </w:tc>
        <w:tc>
          <w:tcPr>
            <w:tcW w:w="460" w:type="dxa"/>
            <w:vAlign w:val="bottom"/>
          </w:tcPr>
          <w:p>
            <w:pPr>
              <w:spacing w:after="0"/>
              <w:rPr>
                <w:sz w:val="24"/>
                <w:szCs w:val="24"/>
                <w:color w:val="auto"/>
              </w:rPr>
            </w:pPr>
          </w:p>
        </w:tc>
        <w:tc>
          <w:tcPr>
            <w:tcW w:w="3120" w:type="dxa"/>
            <w:vAlign w:val="bottom"/>
            <w:gridSpan w:val="4"/>
          </w:tcPr>
          <w:p>
            <w:pPr>
              <w:jc w:val="right"/>
              <w:ind w:right="1648"/>
              <w:spacing w:after="0"/>
              <w:rPr>
                <w:sz w:val="20"/>
                <w:szCs w:val="20"/>
                <w:color w:val="auto"/>
              </w:rPr>
            </w:pPr>
            <w:r>
              <w:rPr>
                <w:rFonts w:ascii="Times New Roman" w:cs="Times New Roman" w:eastAsia="Times New Roman" w:hAnsi="Times New Roman"/>
                <w:sz w:val="18"/>
                <w:szCs w:val="18"/>
                <w:color w:val="auto"/>
              </w:rPr>
              <w:t>200.0 bps</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Level IV</w:t>
            </w:r>
          </w:p>
        </w:tc>
        <w:tc>
          <w:tcPr>
            <w:tcW w:w="3740" w:type="dxa"/>
            <w:vAlign w:val="bottom"/>
            <w:gridSpan w:val="13"/>
          </w:tcPr>
          <w:p>
            <w:pPr>
              <w:ind w:left="1000"/>
              <w:spacing w:after="0"/>
              <w:rPr>
                <w:sz w:val="20"/>
                <w:szCs w:val="20"/>
                <w:color w:val="auto"/>
              </w:rPr>
            </w:pPr>
            <w:r>
              <w:rPr>
                <w:rFonts w:ascii="Times New Roman" w:cs="Times New Roman" w:eastAsia="Times New Roman" w:hAnsi="Times New Roman"/>
                <w:sz w:val="18"/>
                <w:szCs w:val="18"/>
                <w:color w:val="auto"/>
              </w:rPr>
              <w:t>187.5 bps</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 bps</w:t>
            </w:r>
          </w:p>
        </w:tc>
        <w:tc>
          <w:tcPr>
            <w:tcW w:w="460" w:type="dxa"/>
            <w:vAlign w:val="bottom"/>
          </w:tcPr>
          <w:p>
            <w:pPr>
              <w:spacing w:after="0"/>
              <w:rPr>
                <w:sz w:val="24"/>
                <w:szCs w:val="24"/>
                <w:color w:val="auto"/>
              </w:rPr>
            </w:pPr>
          </w:p>
        </w:tc>
        <w:tc>
          <w:tcPr>
            <w:tcW w:w="3120" w:type="dxa"/>
            <w:vAlign w:val="bottom"/>
            <w:gridSpan w:val="4"/>
          </w:tcPr>
          <w:p>
            <w:pPr>
              <w:jc w:val="right"/>
              <w:ind w:right="1648"/>
              <w:spacing w:after="0"/>
              <w:rPr>
                <w:sz w:val="20"/>
                <w:szCs w:val="20"/>
                <w:color w:val="auto"/>
              </w:rPr>
            </w:pPr>
            <w:r>
              <w:rPr>
                <w:rFonts w:ascii="Times New Roman" w:cs="Times New Roman" w:eastAsia="Times New Roman" w:hAnsi="Times New Roman"/>
                <w:sz w:val="18"/>
                <w:szCs w:val="18"/>
                <w:color w:val="auto"/>
              </w:rPr>
              <w:t>225.0 bps</w:t>
            </w:r>
          </w:p>
        </w:tc>
        <w:tc>
          <w:tcPr>
            <w:tcW w:w="0" w:type="dxa"/>
            <w:vAlign w:val="bottom"/>
          </w:tcPr>
          <w:p>
            <w:pPr>
              <w:spacing w:after="0"/>
              <w:rPr>
                <w:sz w:val="1"/>
                <w:szCs w:val="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Level V</w:t>
            </w:r>
          </w:p>
        </w:tc>
        <w:tc>
          <w:tcPr>
            <w:tcW w:w="3740" w:type="dxa"/>
            <w:vAlign w:val="bottom"/>
            <w:gridSpan w:val="13"/>
          </w:tcPr>
          <w:p>
            <w:pPr>
              <w:ind w:left="1000"/>
              <w:spacing w:after="0"/>
              <w:rPr>
                <w:sz w:val="20"/>
                <w:szCs w:val="20"/>
                <w:color w:val="auto"/>
              </w:rPr>
            </w:pPr>
            <w:r>
              <w:rPr>
                <w:rFonts w:ascii="Times New Roman" w:cs="Times New Roman" w:eastAsia="Times New Roman" w:hAnsi="Times New Roman"/>
                <w:sz w:val="18"/>
                <w:szCs w:val="18"/>
                <w:color w:val="auto"/>
              </w:rPr>
              <w:t>200.0 bps</w:t>
            </w: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212.5 bps</w:t>
            </w:r>
          </w:p>
        </w:tc>
        <w:tc>
          <w:tcPr>
            <w:tcW w:w="460" w:type="dxa"/>
            <w:vAlign w:val="bottom"/>
          </w:tcPr>
          <w:p>
            <w:pPr>
              <w:spacing w:after="0"/>
              <w:rPr>
                <w:sz w:val="24"/>
                <w:szCs w:val="24"/>
                <w:color w:val="auto"/>
              </w:rPr>
            </w:pPr>
          </w:p>
        </w:tc>
        <w:tc>
          <w:tcPr>
            <w:tcW w:w="3120" w:type="dxa"/>
            <w:vAlign w:val="bottom"/>
            <w:gridSpan w:val="4"/>
          </w:tcPr>
          <w:p>
            <w:pPr>
              <w:jc w:val="right"/>
              <w:ind w:right="1648"/>
              <w:spacing w:after="0"/>
              <w:rPr>
                <w:sz w:val="20"/>
                <w:szCs w:val="20"/>
                <w:color w:val="auto"/>
              </w:rPr>
            </w:pPr>
            <w:r>
              <w:rPr>
                <w:rFonts w:ascii="Times New Roman" w:cs="Times New Roman" w:eastAsia="Times New Roman" w:hAnsi="Times New Roman"/>
                <w:sz w:val="18"/>
                <w:szCs w:val="18"/>
                <w:color w:val="auto"/>
              </w:rPr>
              <w:t>237.5 bps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Each change in the Term Benchmark Margin shall apply during the period commencing on the effective date of such change and ending on the date immediately preceding the effective date of the next such change. Changes in the Term Benchmark Margin will occur automatically without prior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has the meaning assigned to it under the definition of Term SOFR Reference Rate.</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44" w:name="page45"/>
    <w:bookmarkEnd w:id="44"/>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Benchmark Borrowing denominated in US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Business Days prior to such Term SOFR Determination Day.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has the meaning assigned to such term in Section 2.11(a).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 Rate</w:t>
      </w:r>
      <w:r>
        <w:rPr>
          <w:rFonts w:ascii="Times New Roman" w:cs="Times New Roman" w:eastAsia="Times New Roman" w:hAnsi="Times New Roman"/>
          <w:sz w:val="18"/>
          <w:szCs w:val="18"/>
          <w:color w:val="auto"/>
        </w:rPr>
        <w:t>” means 0.225% per annum.</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Majority Lenders</w:t>
      </w:r>
      <w:r>
        <w:rPr>
          <w:rFonts w:ascii="Times New Roman" w:cs="Times New Roman" w:eastAsia="Times New Roman" w:hAnsi="Times New Roman"/>
          <w:sz w:val="18"/>
          <w:szCs w:val="18"/>
          <w:color w:val="auto"/>
        </w:rPr>
        <w:t xml:space="preserve">” means, at any time, Lenders of one Class having Credit Exposures and unused Commitments representing more than 50% of the aggregate amount of the aggregate Credit Exposures and unused Commitments of such Class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 of determining the Tranche Majority Lenders needed for any waiver, amendment, modification or consent, any Lender that is the Borrower or an Affiliate of the Borrower shall be disregarded.</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APA of this Agreement and by each Loan Party of the other Loan Documents to which it is a party, the borrowing of Loans and the use of the proceeds thereof, the consummation of the Acquisition, and the Acquired Business Debt Refinancing.</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or the Alternate Base Rate.</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means the United Kingdom and any country which makes up a part thereof.</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 its fifty states and the District of Columbia.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 any Subsidiary of APA that is not a Restricted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Repayment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USA Patriot Act (Title III of Pub. L. 107-56 (signed into law October 26, 2001).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”refers to lawful money of the United States of America.</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announces that the fixed income departments of its members shall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2.16(e)(ii)(B)(3)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Welfare Plan</w:t>
      </w:r>
      <w:r>
        <w:rPr>
          <w:rFonts w:ascii="Times New Roman" w:cs="Times New Roman" w:eastAsia="Times New Roman" w:hAnsi="Times New Roman"/>
          <w:sz w:val="18"/>
          <w:szCs w:val="18"/>
          <w:color w:val="auto"/>
        </w:rPr>
        <w:t>” means a “welfare plan,” as such term is defined in Section 3(1) of ERISA.</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Type (e.g., a “Term Benchmark Loan”) or Class (e.g., a “364-Day Tranche Loan”). Borrowings also may be classified and referred to by Type (e.g., a “Term Benchmark Borrowing”) and Class (e.g. a “Term Benchmark 364-Day Tranche Loan Borrowing”).</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46" w:name="page47"/>
    <w:bookmarkEnd w:id="4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Except as otherwise expressly provided herein, all terms of an accounting or financial nature shall be construed in accordance with GAAP, as in effect from time to time; provided that, if APA notifies the Administrative Agent that APA requests an amendment to any provision hereof to eliminate the effect of any change occurring after the date hereof in GAAP or in the application thereof on the operation of such provision (or if the Administrative Agent notifies APA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(i) to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denominated in US Dollars may be derived from an interest rate benchmark that may be discontinued or is, or may in the future become, the subject of regulatory reform. Upon the occurrence of a Benchmark Transition Event, Section 2.13(b) provides a mechanism for determining an alternative rate of interest. Except as set forth in this Agreement,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7" w:name="page48"/>
    <w:bookmarkEnd w:id="4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Unless otherwise required under this Agreement,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0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Facility; Commitments</w:t>
      </w:r>
      <w:r>
        <w:rPr>
          <w:rFonts w:ascii="Times New Roman" w:cs="Times New Roman" w:eastAsia="Times New Roman" w:hAnsi="Times New Roman"/>
          <w:sz w:val="18"/>
          <w:szCs w:val="18"/>
          <w:color w:val="auto"/>
        </w:rPr>
        <w:t xml:space="preserve">. Subject to the terms and conditions set forth herein, so long as the Commitment Termination Date has not occurred, each Lender severally agrees to make Loans denominated in US Dollars to the Borrower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with respect to 364-Day Tranche Loans, the aggregate principal amount of the 364-Day Tranche Loans made by each 364-Day Tranche Lender shall not exceed such Lender’s 364-Day Tranche Commitment in effect immediately prior to making such 364-Day Tranche Loan and (ii) with respect to 3-Year Tranche Loans, the aggregate principal amount of the 3-Year Tranche Loans made by each 3-Year Tranche Lender shall not exceed such Lender’s 3-Year Tranche Commitment in effect immediately prior to making such 3-Year Tranche Loan. Any amount borrowed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subsequently repaid or prepaid may not be reborrowed.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61"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shall be made as part of a Borrowing consisting of Loans made by the Lenders ratably in accordance with their respective Commitments under the relevant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each Borrowing shall be comprised entirely of ABR Loans or Term Benchmark Loans in US Dollars as Borrower may request in accordance herewith.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Borrower to repay such Loan in accordance with the terms of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8" w:name="page49"/>
    <w:bookmarkEnd w:id="48"/>
    <w:p>
      <w:pPr>
        <w:jc w:val="both"/>
        <w:ind w:right="40" w:firstLine="436"/>
        <w:spacing w:after="0" w:line="256"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commencement of each Interest Period for any Term Benchmark Borrowing, such Borrowing shall be in an aggregate amount that is an integral multiple of $1,000,000 and not less than $5,000,000 (including any continuation or conversion of existing Loans made in connection therewith). At the time that each ABR Borrowing is made, such Borrowing shall be in an aggregate amount that is an integral multiple of $1,000,000 and not less than $5,000,000 (including any continuation or conversion of existing Loans made in connection therewith); provided that an ABR Borrowing may be in an aggregate amount that is equal to the entire unused balance of the total Commitments. Borrowings of more than one Type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ten (10) Term Benchmark Borrowings outstanding.</w:t>
      </w:r>
    </w:p>
    <w:p>
      <w:pPr>
        <w:spacing w:after="0" w:line="187" w:lineRule="exact"/>
        <w:rPr>
          <w:rFonts w:ascii="Times New Roman" w:cs="Times New Roman" w:eastAsia="Times New Roman" w:hAnsi="Times New Roman"/>
          <w:sz w:val="18"/>
          <w:szCs w:val="18"/>
          <w:color w:val="auto"/>
        </w:rPr>
      </w:pPr>
    </w:p>
    <w:p>
      <w:pPr>
        <w:ind w:right="560" w:firstLine="436"/>
        <w:spacing w:after="0" w:line="282" w:lineRule="auto"/>
        <w:tabs>
          <w:tab w:leader="none" w:pos="6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Borrower shall not be entitled to request, or to elect to convert or continue, any Borrowing if the Interest Period requested with respect thereto would end after the applicable Maturity Date.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Borrowing, Borrower shall notify the Administrative Agent of such request in writing or by telephone (a) in the case of a Term Benchmark Borrowing, not later than 1:00 p.m., New York City time, one (1) Business Day before the date of the proposed Borrowing, or (b) in the case of an ABR Borrowing, not later than 1:00 p.m., New York City time, on the date of the proposed Borrowing. Any such telephonic Borrowing Request shall be irrevocable and shall be confirmed promptly by hand delivery, telecopy or electronic mail to the Administrative Agent of a written Borrowing Request signed by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Borrowing Request delivered by APA may state that such notice is conditioned upon the occurrence of the Closing (as defined in the Acquisition Agreement), in which case such notice may be revoked by APA (by notice to the Administrative Agent on or prior to the specified date of such Borrowing) if such condition is not satisfied. Each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1080" w:hanging="221"/>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of the requested Borrowing;</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Term Benchmark Borrowing; and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an ABR Borrowing. If no Interest Period is specified with respect to any requested Term Benchmark Borrowing, then Borrower shall be deemed to have selected an Interest Period of one (1)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49" w:name="page50"/>
    <w:bookmarkEnd w:id="4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8" w:lineRule="auto"/>
        <w:tabs>
          <w:tab w:leader="none" w:pos="68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each Loan to be made by it hereunder on the Closing Date solely by wire transfer of immediately available funds by 2:00 p.m., New York City time, to the account of the Administrative Agent most recently designated by it for such purpose by notice to the Lenders. The Administrative Agent will make such Loans available to Borrower by promptly crediting the funds so received in the aforesaid account of the Administrative Agent to an account of Borrower designated by Borrower from time to time in a written notice to the Administrative Agent executed by two Authorized Officers of APA.</w:t>
      </w:r>
    </w:p>
    <w:p>
      <w:pPr>
        <w:spacing w:after="0" w:line="183"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Closing Date that such Lender will not make available to the Administrative Agent such Lender’s share of such Borrowing, the Administrative Agent may assume that such Lender has made such share available on the requested date in accordance with paragraph (a) of this Section and may, in reliance upon such assumption, make available to Borrower 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with interest thereon, for each day from and including the date such amount is made available to Borrower to but excluding the date of payment to the Administrative Agent, at (i) in the case of such Lender, the greater of the NYFRB Rate or a rate determined by the Administrative Agent in accordance with banking industry rules on interbank compensation or (ii) in the case of Borrower, the interest rate applicable to Loans made in such Borrowing. If such Lender pays such amount to the Administrative Agent, then such amount shall constitute such Lender’s Loan included in such Borrowing.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00" w:firstLine="436"/>
        <w:spacing w:after="0" w:line="261" w:lineRule="auto"/>
        <w:tabs>
          <w:tab w:leader="none" w:pos="6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and Class specified in the applicable Borrowing Request (or an ABR Borrowing if no Type is specified) and, in the case of a Term Benchmark Borrowing, shall have an initial Interest Period as specified in such Borrowing Request (or one</w:t>
      </w:r>
    </w:p>
    <w:p>
      <w:pPr>
        <w:ind w:left="4" w:right="20" w:hanging="4"/>
        <w:spacing w:after="0" w:line="253"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 if no Interest Period is specified). Thereafter, Borrower may elect to convert such Borrowing to a different Type or to continue such Borrowing and, in the case of a Term Benchmark Borrowing, may elect Interest Periods therefor, all as provided in this Section. Borrower may, subject to the requirements of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A Class of Loan cannot be changed or converted.</w:t>
      </w:r>
    </w:p>
    <w:p>
      <w:pPr>
        <w:spacing w:after="0" w:line="186" w:lineRule="exact"/>
        <w:rPr>
          <w:rFonts w:ascii="Times New Roman" w:cs="Times New Roman" w:eastAsia="Times New Roman" w:hAnsi="Times New Roman"/>
          <w:sz w:val="18"/>
          <w:szCs w:val="18"/>
          <w:color w:val="auto"/>
        </w:rPr>
      </w:pPr>
    </w:p>
    <w:p>
      <w:pPr>
        <w:jc w:val="both"/>
        <w:ind w:left="4" w:right="160" w:firstLine="436"/>
        <w:spacing w:after="0" w:line="261"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Section, Borrower shall notify the Administrative Agent of such election by telephone by the time that a Borrowing Request would be required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Borrower were requesting a Borrowing of the Type resulting from such election to be made on the effective date of such election. Each such telephonic Interest Election Request shall be irrevocable and shall be confirmed promptly by hand delivery, telecopy or electronic mail to the Administrative Agent of a written Interest Election Request.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50" w:name="page51"/>
    <w:bookmarkEnd w:id="50"/>
    <w:p>
      <w:pPr>
        <w:ind w:left="680" w:hanging="244"/>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0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an ABR Borrowing or a Term Benchmark Borrowing; and</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shall be a period contemplated by the definition of the term “</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Borrower shall be deemed to have selected an Interest Period of one (1) month’s duration.</w:t>
      </w:r>
    </w:p>
    <w:p>
      <w:pPr>
        <w:spacing w:after="0" w:line="162" w:lineRule="exact"/>
        <w:rPr>
          <w:sz w:val="20"/>
          <w:szCs w:val="20"/>
          <w:color w:val="auto"/>
        </w:rPr>
      </w:pPr>
    </w:p>
    <w:p>
      <w:pPr>
        <w:ind w:right="32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ind w:firstLine="436"/>
        <w:spacing w:after="0" w:line="274" w:lineRule="auto"/>
        <w:tabs>
          <w:tab w:leader="none" w:pos="68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Borrower, then, so long as an Event of Default is continuing, (i) no outstanding Borrowing may be converted to or continued as a Term Benchmark Borrowing and (ii) unless repaid and provided the Indebtedness has not been accelerated pursuant to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each Term Benchmark Borrowing shall be converted to an ABR Borrowing at the end of the Interest Period applicable thereto.</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36"/>
        <w:spacing w:after="0" w:line="282" w:lineRule="auto"/>
        <w:tabs>
          <w:tab w:leader="none" w:pos="68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Commitments shall automatically terminate on the earlier of (i) the Closing Date after giving effect to the funding of each Lender’s Commitments on such date and (ii) the Commitment Termination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51" w:name="page52"/>
    <w:bookmarkEnd w:id="51"/>
    <w:p>
      <w:pPr>
        <w:ind w:left="4" w:right="140" w:firstLine="436"/>
        <w:spacing w:after="0" w:line="282"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APA may at any time terminate, or from time to time reduce, the Commitments; provided that each reduction of the Commitments shall be in an amount that is an integral multiple of $1,000,000 and not less than $5,000,000.</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APA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at least two</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prior to the effective date of such termination or reduction, specifying such election and the effective date thereof. Promptly following receipt of any notice, the Administrative Agent shall advise the Lenders of the contents thereof. Each notice delivered by APA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APA may state that such notice is conditioned upon the effectiveness of other credit facilities, in which case such notice may be revoked by APA (by notice to the Administrative Agent on or prior to the specified effective date) if such condition is not satisfied. Any termination or reduction of the Commitments shall be permanent. Each reduction of the Commitments shall be made ratably between each Class and ratably among the Lenders in accordance with their respective Commitments under such Class.</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36"/>
        <w:spacing w:after="0" w:line="261" w:lineRule="auto"/>
        <w:tabs>
          <w:tab w:leader="none" w:pos="6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unconditionally promises to pay the outstanding Loans as follows: (a) to the Administrative Agent for the ratable account of each 364-Day Tranche Lender on the Maturity Date applicable thereto the outstanding principal amount of 364-Day Tranche Loans made to the Borrower then outstanding and (b) to the Administrative Agent for the ratable account of each 3-Year Tranche Lender on the Maturity Date applicable thereto the outstanding principal amount of 3-Year Tranche Loans made to the Borrower then outstanding.</w:t>
      </w:r>
    </w:p>
    <w:p>
      <w:pPr>
        <w:spacing w:after="0" w:line="179"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Type and</w:t>
      </w:r>
    </w:p>
    <w:p>
      <w:pPr>
        <w:spacing w:after="0" w:line="27" w:lineRule="exact"/>
        <w:rPr>
          <w:sz w:val="20"/>
          <w:szCs w:val="20"/>
          <w:color w:val="auto"/>
        </w:rPr>
      </w:pPr>
    </w:p>
    <w:p>
      <w:pPr>
        <w:jc w:val="both"/>
        <w:ind w:left="4" w:right="100"/>
        <w:spacing w:after="0" w:line="255" w:lineRule="auto"/>
        <w:rPr>
          <w:sz w:val="20"/>
          <w:szCs w:val="20"/>
          <w:color w:val="auto"/>
        </w:rPr>
      </w:pPr>
      <w:r>
        <w:rPr>
          <w:rFonts w:ascii="Times New Roman" w:cs="Times New Roman" w:eastAsia="Times New Roman" w:hAnsi="Times New Roman"/>
          <w:sz w:val="18"/>
          <w:szCs w:val="18"/>
          <w:color w:val="auto"/>
        </w:rPr>
        <w:t>Class thereof and the Interest Period applicable thereto, (ii) the amount of any principal or interest due and payable or to become due and payable from Borrower to each Lender hereunder and (iii) the amount of any sum received by the Administrative Agent hereunder for the account of the Lenders and each Lender’s share thereof.</w:t>
      </w:r>
    </w:p>
    <w:p>
      <w:pPr>
        <w:spacing w:after="0" w:line="186" w:lineRule="exact"/>
        <w:rPr>
          <w:sz w:val="20"/>
          <w:szCs w:val="20"/>
          <w:color w:val="auto"/>
        </w:rPr>
      </w:pPr>
    </w:p>
    <w:p>
      <w:pPr>
        <w:jc w:val="both"/>
        <w:ind w:left="4" w:right="80" w:firstLine="436"/>
        <w:spacing w:after="0" w:line="266" w:lineRule="auto"/>
        <w:tabs>
          <w:tab w:leader="none" w:pos="6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 shall be prima facie evidence of the existence and amounts of the obligations recorded therein; provided that the failure of any Lender or the Administrative Agent to maintain such accounts or any error therein shall not in any manner affect the obligation of Borrower to repay the Loans in accordance with the terms of this Agreement.</w:t>
      </w:r>
    </w:p>
    <w:p>
      <w:pPr>
        <w:spacing w:after="0" w:line="175"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be represented by one or more promissory notes in such form payable to the order of the payee named therein (or, if any such promissory note is a registered note, to such payee and its registered assigns).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70" w:right="4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Optional Prepayment of Loans; Other Required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82"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Loans of any Class in whole or in part, subject to prior notice in accordance with Section 2.10(b).</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notify the Administrative Agent by telephone (confirmed by telecopy or electronic mail) of any prepayment hereunder (i) in the case of prepayment of a Term Benchmark Borrowing, not later than 1:00 p.m., New York City time, three (3) Business Days before the date of prepayment or (ii) in the case of prepayment of an ABR Borrowing, not later than 1:00 p.m.,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APA may state that such notice is conditioned upon the effectiveness of other credit facilities, in which case such notice may be revoked by APA (by notice to the Administrative Agent on or prior to the specified effective date)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Each prepayment of a Borrowing shall be allocated to the Classes of Loans as directed by the Borrower and applied ratably to the Loans of such Class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compensation for break funding, to the extent required by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proceeds of the Loans have not been applied by the Borrower to the consummation of the Acquired Business Debt Refinancing (and the payment of fees and expenses related to the Transactions) on or prior to the date that is 120 days after the Closing Date (such proceeds, the “</w:t>
      </w:r>
      <w:r>
        <w:rPr>
          <w:rFonts w:ascii="Times New Roman" w:cs="Times New Roman" w:eastAsia="Times New Roman" w:hAnsi="Times New Roman"/>
          <w:sz w:val="18"/>
          <w:szCs w:val="18"/>
          <w:u w:val="single" w:color="auto"/>
          <w:color w:val="auto"/>
        </w:rPr>
        <w:t>Unused Repayment Amount</w:t>
      </w:r>
      <w:r>
        <w:rPr>
          <w:rFonts w:ascii="Times New Roman" w:cs="Times New Roman" w:eastAsia="Times New Roman" w:hAnsi="Times New Roman"/>
          <w:sz w:val="18"/>
          <w:szCs w:val="18"/>
          <w:color w:val="auto"/>
        </w:rPr>
        <w:t>”), the Borrower shall, following the delivery of a prior notice pursuant to Section 2.10(b), prepay Loans in a principal amount equal to the Unused Repayment Amount.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8"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Lender, ticking fees (the “</w:t>
      </w:r>
      <w:r>
        <w:rPr>
          <w:rFonts w:ascii="Times New Roman" w:cs="Times New Roman" w:eastAsia="Times New Roman" w:hAnsi="Times New Roman"/>
          <w:sz w:val="18"/>
          <w:szCs w:val="18"/>
          <w:u w:val="single" w:color="auto"/>
          <w:color w:val="auto"/>
        </w:rPr>
        <w:t>Ticking Fees</w:t>
      </w:r>
      <w:r>
        <w:rPr>
          <w:rFonts w:ascii="Times New Roman" w:cs="Times New Roman" w:eastAsia="Times New Roman" w:hAnsi="Times New Roman"/>
          <w:sz w:val="18"/>
          <w:szCs w:val="18"/>
          <w:color w:val="auto"/>
        </w:rPr>
        <w:t>”) at a rate per annum equal to the Ticking Fee Rate on the daily average undrawn aggregate Commitment of such Lender, accruing during the period from and including the later of (x) the Effective Date and (y) the date that is 90 days after January 3, 2024, to but excluding the earlier of (x) the Commitment Termination Date and (y) the Closing Date (such earlier date, the “</w:t>
      </w:r>
      <w:r>
        <w:rPr>
          <w:rFonts w:ascii="Times New Roman" w:cs="Times New Roman" w:eastAsia="Times New Roman" w:hAnsi="Times New Roman"/>
          <w:sz w:val="18"/>
          <w:szCs w:val="18"/>
          <w:u w:val="single" w:color="auto"/>
          <w:color w:val="auto"/>
        </w:rPr>
        <w:t>Ticking Fee Date</w:t>
      </w:r>
      <w:r>
        <w:rPr>
          <w:rFonts w:ascii="Times New Roman" w:cs="Times New Roman" w:eastAsia="Times New Roman" w:hAnsi="Times New Roman"/>
          <w:sz w:val="18"/>
          <w:szCs w:val="18"/>
          <w:color w:val="auto"/>
        </w:rPr>
        <w:t>”), payable upon the Ticking Fee Date. Ticking Fees shall be calculated on the basis of a year of 360 days and shall be payable for the actual number of days elapsed (including the first day but excluding the last day).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53" w:name="page54"/>
    <w:bookmarkEnd w:id="53"/>
    <w:p>
      <w:pPr>
        <w:ind w:left="4" w:right="740" w:firstLine="436"/>
        <w:spacing w:after="0" w:line="282" w:lineRule="auto"/>
        <w:tabs>
          <w:tab w:leader="none" w:pos="6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agrees to pay to the Administrative Agent, for its own account, fees payable in the amounts, in US Dollars and at the times separately agreed upon between Borrower and the Administrative Agent.</w:t>
      </w:r>
    </w:p>
    <w:p>
      <w:pPr>
        <w:spacing w:after="0" w:line="16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payable hereunder shall be paid on the dates due, in immediately available funds, and, except with respect to the fees payable directly to the Arrangers pursuant to Section 2.11(c), shall be payable to the Administrative Agent for distribution, in the case of commissions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to the Lenders. Any and all fees paid shall not be refundable under any circumstances.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ABR Borrowing shall bear interest on the daily amount outstanding at the Alternate Base Rate plus the ABR Rate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w:t>
      </w:r>
    </w:p>
    <w:p>
      <w:pPr>
        <w:spacing w:after="0" w:line="206"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9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Benchmark Borrowing shall bear interest on the daily amount outstanding at the Adjusted Term SOFR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Term Benchmark Margin.</w:t>
      </w:r>
    </w:p>
    <w:p>
      <w:pPr>
        <w:spacing w:after="0" w:line="161"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any principal of or interest on any Loan or any fee or other amount payable by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denominated in US Dollars, at a rate of interest per annum equal to 2% plus the rate applicable to ABR Loans as provided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40" w:firstLine="436"/>
        <w:spacing w:after="0" w:line="272" w:lineRule="auto"/>
        <w:tabs>
          <w:tab w:leader="none" w:pos="69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Accrued interest on each Loan shall be payable in arrears on each Interest Payment Date for such Loan and, in the case of Loans on the applicable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interest accrued pursuant to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xml:space="preserve"> shall be payable on demand, (ii) in the event of any repayment or prepayment of any Loan, accrued interest on the principal amount repaid or prepaid shall be payable on the date of such repayment or prepayment and</w:t>
      </w:r>
    </w:p>
    <w:p>
      <w:pPr>
        <w:spacing w:after="0" w:line="1" w:lineRule="exact"/>
        <w:rPr>
          <w:rFonts w:ascii="Times New Roman" w:cs="Times New Roman" w:eastAsia="Times New Roman" w:hAnsi="Times New Roman"/>
          <w:sz w:val="17"/>
          <w:szCs w:val="17"/>
          <w:color w:val="auto"/>
        </w:rPr>
      </w:pPr>
    </w:p>
    <w:p>
      <w:pPr>
        <w:ind w:left="4" w:right="200" w:hanging="4"/>
        <w:spacing w:after="0" w:line="260" w:lineRule="auto"/>
        <w:tabs>
          <w:tab w:leader="none" w:pos="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conversion of any Term Benchmark Loan prior to the end of the current Interest Period therefor, accrued interest on such Loan shall be payable on the effective date of such conversion.</w:t>
      </w:r>
    </w:p>
    <w:p>
      <w:pPr>
        <w:spacing w:after="0" w:line="181" w:lineRule="exact"/>
        <w:rPr>
          <w:rFonts w:ascii="Times New Roman" w:cs="Times New Roman" w:eastAsia="Times New Roman" w:hAnsi="Times New Roman"/>
          <w:sz w:val="18"/>
          <w:szCs w:val="18"/>
          <w:color w:val="auto"/>
        </w:rPr>
      </w:pPr>
    </w:p>
    <w:p>
      <w:pPr>
        <w:ind w:left="4" w:firstLine="436"/>
        <w:spacing w:after="0" w:line="233"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but excluding the last day). The applicable Alternate Base Rate, Adjusted Term Benchmark Rate or Term Benchmark Rate shall be determined by the Administrative Agent, and such determination shall be conclusive absent manifest error.</w:t>
      </w:r>
    </w:p>
    <w:p>
      <w:pPr>
        <w:spacing w:after="0" w:line="1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54" w:name="page55"/>
    <w:bookmarkEnd w:id="5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and (f) of this Section, if:</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08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(A) prior to the commencement of any Interest Period for a Term Benchmark Borrowing, that adequate and reasonable means do not exist for ascertaining the Adjusted Term SOFR Rate or the Term SOFR Rate (including, without limitation, because the Term SOFR Reference Rate is not available or published on a current basis), for such Interest Period or (B) at any time, that adequate and reasonable means do not exist for ascertaining the applicable Adjusted Daily Simple SOFR or Daily Simple SOFR; or</w:t>
      </w:r>
    </w:p>
    <w:p>
      <w:pPr>
        <w:spacing w:after="0" w:line="75" w:lineRule="exact"/>
        <w:rPr>
          <w:rFonts w:ascii="Times New Roman" w:cs="Times New Roman" w:eastAsia="Times New Roman" w:hAnsi="Times New Roman"/>
          <w:sz w:val="18"/>
          <w:szCs w:val="18"/>
          <w:color w:val="auto"/>
        </w:rPr>
      </w:pPr>
    </w:p>
    <w:p>
      <w:pPr>
        <w:ind w:left="444" w:firstLine="419"/>
        <w:spacing w:after="0" w:line="258" w:lineRule="auto"/>
        <w:tabs>
          <w:tab w:leader="none" w:pos="113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Adjusted Daily Simple SOFR will not adequately and fairly reflect the cost to such Lenders (or Lender) of making or maintaining their Loans (or its Loan) included in such Borrowing;</w:t>
      </w:r>
    </w:p>
    <w:p>
      <w:pPr>
        <w:spacing w:after="0" w:line="183"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or a new Borrowing Request in accordance with the terms of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 any Interest Election Request that requests the conversion of any Borrowing to, or continuation of any Borrowing as, a Term Benchmark Borrowing shall be ineffective and (B) any Borrowing Request that requests a Term Benchmark Borrowing shall instead be deemed to be an Interest Election Request or a Borrowing Request, as applicable, for an ABR Borrowing;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circumstances giving rise to such notice affect only one Type of Borrowings, then the other Type of Borrowings shall be permitted. Furthermore, if any Term Benchmark Loan is outstanding on the date of the Borrower’s receipt of the notice from the Administrative Agent referred to in this </w:t>
      </w:r>
      <w:r>
        <w:rPr>
          <w:rFonts w:ascii="Times New Roman" w:cs="Times New Roman" w:eastAsia="Times New Roman" w:hAnsi="Times New Roman"/>
          <w:sz w:val="17"/>
          <w:szCs w:val="17"/>
          <w:u w:val="single" w:color="auto"/>
          <w:color w:val="auto"/>
        </w:rPr>
        <w:t>Section 2.13(a)</w:t>
      </w:r>
      <w:r>
        <w:rPr>
          <w:rFonts w:ascii="Times New Roman" w:cs="Times New Roman" w:eastAsia="Times New Roman" w:hAnsi="Times New Roman"/>
          <w:sz w:val="17"/>
          <w:szCs w:val="17"/>
          <w:color w:val="auto"/>
        </w:rPr>
        <w:t xml:space="preserve"> with respect to a Relevant Rate applicable to such Term Benchmark Loan, then until (x) the Administrative Agent notifies the Borrower and the Lenders that the circumstances giving rise to such notice no longer exist with respect to the relevant Benchmark and</w:t>
      </w:r>
    </w:p>
    <w:p>
      <w:pPr>
        <w:spacing w:after="0" w:line="4" w:lineRule="exact"/>
        <w:rPr>
          <w:sz w:val="20"/>
          <w:szCs w:val="20"/>
          <w:color w:val="auto"/>
        </w:rPr>
      </w:pPr>
    </w:p>
    <w:p>
      <w:pPr>
        <w:ind w:left="4" w:right="20" w:hanging="4"/>
        <w:spacing w:after="0" w:line="255"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delivers a new Interest Election Request in accordance with the terms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any Term Benchmark Loan shall on the last day of the Interest Period applicable to such Loan (or the next succeeding Business Day if such day is not a Business Day), be converted by the Administrative Agent to, and shall constitute an ABR Loan on such day.</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70" w:right="479" w:bottom="1440" w:gutter="0" w:footer="0" w:header="0"/>
        </w:sectPr>
      </w:pPr>
    </w:p>
    <w:bookmarkStart w:id="55" w:name="page56"/>
    <w:bookmarkEnd w:id="55"/>
    <w:p>
      <w:pPr>
        <w:ind w:left="-20" w:firstLine="436"/>
        <w:spacing w:after="0" w:line="253"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1"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60" w:top="270" w:right="459" w:bottom="1440" w:gutter="0" w:footer="0" w:header="0"/>
        </w:sectPr>
      </w:pPr>
    </w:p>
    <w:bookmarkStart w:id="56" w:name="page57"/>
    <w:bookmarkEnd w:id="56"/>
    <w:p>
      <w:pPr>
        <w:ind w:firstLine="436"/>
        <w:spacing w:after="0" w:line="253" w:lineRule="auto"/>
        <w:tabs>
          <w:tab w:leader="none" w:pos="6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with respect to a Relevant Rate applicable to such Term Benchmark Loan, then until such time as a Benchmark Replacement is implemented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Term Benchmark Loan shall on the last day of the Interest Period applicable to such Loan (or the next succeeding Business Day if such day is not a Business Day), be converted by the Administrative Agent to, and shall constitute, an ABR Loan on such day.</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0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or similar requirement (including any compulsory loan requirement, insurance charge or other assessment) against assets of, deposits with or for the account of, or credit extended by, any Lender (except any such reserve requirement reflected in the Adjusted Term SOFR Rate); or</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applicable offshore interbank market any other condition, cost or expense (other than Taxes) affecting this Agreement or Term Benchmark Loans made by such Lender; or</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7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and (B) Excluded Taxes) on its loans, loan principal, letters of credit, commitments, or other obligations, or its deposits, reserves, other liabilities or capital attributable thereto;</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or maintaining any Loan (or of maintaining its obligation to make any such Loan) or to reduce the amount of any sum received or receivable by such Lender, or such other Recipient hereunder (whether of principal, interest or otherwise), then Borrower will pay to such Lender or such other Recipient, as the case may be, such additional amount or amounts as will compensate such Lender or such other Recipient, as the case may be, for such additional costs incurred or reduction suffered.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57" w:name="page58"/>
    <w:bookmarkEnd w:id="57"/>
    <w:p>
      <w:pPr>
        <w:ind w:firstLine="436"/>
        <w:spacing w:after="0" w:line="25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Lender reasonably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Borrower will pay to such Lender, such additional amount or amounts as will compensate such Lender or such Lender’s holding company for any such reduction suffered.</w:t>
      </w:r>
    </w:p>
    <w:p>
      <w:pPr>
        <w:spacing w:after="0" w:line="187"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setting forth the amount or amounts necessary to compensate such Lender or its holding company, as the case may be, as specified in paragraph (a) or (b) of this Section (together with the calculation thereof) shall be delivered to Borrower and shall be conclusive absent demonstrable error. Borrower shall pay such Lender the amount shown as due on any such certificate within ten (10) days after receipt thereof.</w:t>
      </w:r>
    </w:p>
    <w:p>
      <w:pPr>
        <w:spacing w:after="0" w:line="175" w:lineRule="exact"/>
        <w:rPr>
          <w:rFonts w:ascii="Times New Roman" w:cs="Times New Roman" w:eastAsia="Times New Roman" w:hAnsi="Times New Roman"/>
          <w:sz w:val="18"/>
          <w:szCs w:val="18"/>
          <w:color w:val="auto"/>
        </w:rPr>
      </w:pPr>
    </w:p>
    <w:p>
      <w:pPr>
        <w:ind w:right="40" w:firstLine="436"/>
        <w:spacing w:after="0" w:line="277" w:lineRule="auto"/>
        <w:tabs>
          <w:tab w:leader="none" w:pos="6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delay on the part of any Lender to demand compensation pursuant to this Section shall not constitute a waiver of such Lender’s right to demand such compensation; provided that Borrower shall not be required to compensate a Lender pursuant to this Section for any increased costs or reductions incurred more than 180 days prior to the date that such Lender notifies Borrower of the Change in Law giving rise to such increased costs or reductions and of such Lender’s intention to claim compensation therefor; provided further that, if the Change in Law giving rise to such increased costs or reductions is retroactive, then the 180-day period referred to above shall be extended to include the period of retroactive effect thereof.</w:t>
      </w:r>
    </w:p>
    <w:p>
      <w:pPr>
        <w:spacing w:after="0" w:line="16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Benchmark Loan other than on the last day of an Interest Period applicable thereto (including as a result of an Event of Default or an optional or mandatory prepayment of Loans),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and is revoked in accordance therewith) or (iv) the assignment of any Term Benchmark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then, in any such event, the Borrower shall compensate each Lender for the loss, cost and expense attributable to such event (other than loss of profit). A certificate of any Lender setting forth any amount or amounts that such Lender is entitled to receive, together with the calculation thereof, pursuant to this Section shall be delivered to Borrower and to the Administrative Agent and shall be conclusive absent demonstrable error. Borrower shall pay to the Administrative Agent for the account of such Lender the amount shown as due on any such certificate within ten (10) days after receipt thereof.</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61"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Borrower hereunder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8" w:name="page59"/>
    <w:bookmarkEnd w:id="58"/>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Governmental Authority in accordance with applicable law and, if such Tax is an Indemnified Tax or Other Tax, then the sum payable by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In addition, Borrower shall pay any Other Taxes to the relevant Governmental Authority in accordance with applicable law.</w:t>
      </w:r>
    </w:p>
    <w:p>
      <w:pPr>
        <w:spacing w:after="0" w:line="183" w:lineRule="exact"/>
        <w:rPr>
          <w:sz w:val="20"/>
          <w:szCs w:val="20"/>
          <w:color w:val="auto"/>
        </w:rPr>
      </w:pPr>
    </w:p>
    <w:p>
      <w:pPr>
        <w:ind w:right="40" w:firstLine="436"/>
        <w:spacing w:after="0" w:line="254"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Taxes by Borrower</w:t>
      </w:r>
      <w:r>
        <w:rPr>
          <w:rFonts w:ascii="Times New Roman" w:cs="Times New Roman" w:eastAsia="Times New Roman" w:hAnsi="Times New Roman"/>
          <w:sz w:val="18"/>
          <w:szCs w:val="18"/>
          <w:color w:val="auto"/>
        </w:rPr>
        <w:t>. Borrower shall pay the Administrative Agent, each Lender, within ten (10) days after written demand therefor, the full amount of any Indemnified Taxes or Other Taxes paid by the Administrative Agent, such Lender on or with respect to any payment by or on account of any obligation of Borrower hereunder (including Indemnified Taxes or Other Taxes imposed or asserted on or attributable to amounts payable under this Section) and any penalties, interest and reasonable expenses arising therefrom or with respect thereto (other than any such penalties or interest arising through the failure of the Administrative Agent or Lender to act as a reasonably prudent agent or lender, respectively), whether or not such Indemnified Taxes or Other Taxes were correctly or legally imposed or asserted by the relevant Governmental Authority. A certificate as to the amount of such payment or liability delivered to Borrower by a Lender or by the Administrative Agent on its own behalf or on behalf of a Lender shall be conclusive absent demonstrable error.</w:t>
      </w:r>
    </w:p>
    <w:p>
      <w:pPr>
        <w:spacing w:after="0" w:line="19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Borrower to a Governmental Authority pursuant to this</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sz w:val="20"/>
          <w:szCs w:val="20"/>
          <w:color w:val="auto"/>
        </w:rPr>
      </w:pPr>
    </w:p>
    <w:p>
      <w:pPr>
        <w:ind w:firstLine="436"/>
        <w:spacing w:after="0" w:line="271" w:lineRule="auto"/>
        <w:tabs>
          <w:tab w:leader="none" w:pos="69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Lenders</w:t>
      </w:r>
      <w:r>
        <w:rPr>
          <w:rFonts w:ascii="Times New Roman" w:cs="Times New Roman" w:eastAsia="Times New Roman" w:hAnsi="Times New Roman"/>
          <w:sz w:val="17"/>
          <w:szCs w:val="17"/>
          <w:color w:val="auto"/>
        </w:rPr>
        <w:t xml:space="preserve">. Each Lender shall severally indemnify the Administrative Agent, within ten (10) days after demand therefor, for (i) any Indemnified Taxes attributable to such Lender (but only to the extent that Borrower has not already indemnified the Administrative Agent for such Indemnified Taxes and without limiting the obligation of Borrower to do so), (ii) any Taxes attributable to such Lender’s failure to comply with the provisions of </w:t>
      </w:r>
      <w:r>
        <w:rPr>
          <w:rFonts w:ascii="Times New Roman" w:cs="Times New Roman" w:eastAsia="Times New Roman" w:hAnsi="Times New Roman"/>
          <w:sz w:val="17"/>
          <w:szCs w:val="17"/>
          <w:u w:val="single" w:color="auto"/>
          <w:color w:val="auto"/>
        </w:rPr>
        <w:t>Section 10.4(g)</w:t>
      </w:r>
      <w:r>
        <w:rPr>
          <w:rFonts w:ascii="Times New Roman" w:cs="Times New Roman" w:eastAsia="Times New Roman" w:hAnsi="Times New Roman"/>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7"/>
          <w:szCs w:val="17"/>
          <w:u w:val="single" w:color="auto"/>
          <w:color w:val="auto"/>
        </w:rPr>
        <w:t>paragraph (d)</w:t>
      </w:r>
      <w:r>
        <w:rPr>
          <w:rFonts w:ascii="Times New Roman" w:cs="Times New Roman" w:eastAsia="Times New Roman" w:hAnsi="Times New Roman"/>
          <w:sz w:val="17"/>
          <w:szCs w:val="17"/>
          <w:color w:val="auto"/>
        </w:rPr>
        <w:t>.</w:t>
      </w: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59" w:name="page60"/>
    <w:bookmarkEnd w:id="59"/>
    <w:p>
      <w:pPr>
        <w:ind w:left="244" w:hanging="244"/>
        <w:spacing w:after="0"/>
        <w:tabs>
          <w:tab w:leader="none" w:pos="2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w:t>
      </w:r>
    </w:p>
    <w:p>
      <w:pPr>
        <w:spacing w:after="0" w:line="27"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Document shall deliver to APA and the Administrative Agent, at the time or times reasonably requested by APA or the Administrative Agent, such properly completed and executed documentation reasonably requested by APA or the Administrative Agent as will permit such payments to be made without withholding or at a reduced rate of withholding. In addition, any Lender, if reasonably requested by APA or the Administrative Agent, shall deliver such other documentation prescribed by applicable law or reasonably requested by APA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2.16(e)(ii)(A)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the Borrower is a U.S. Person,</w:t>
      </w:r>
    </w:p>
    <w:p>
      <w:pPr>
        <w:spacing w:after="0" w:line="117" w:lineRule="exact"/>
        <w:rPr>
          <w:rFonts w:ascii="Times New Roman" w:cs="Times New Roman" w:eastAsia="Times New Roman" w:hAnsi="Times New Roman"/>
          <w:sz w:val="18"/>
          <w:szCs w:val="18"/>
          <w:color w:val="auto"/>
        </w:rPr>
      </w:pPr>
    </w:p>
    <w:p>
      <w:pPr>
        <w:ind w:left="544" w:right="60" w:firstLine="408"/>
        <w:spacing w:after="0" w:line="261" w:lineRule="auto"/>
        <w:tabs>
          <w:tab w:leader="none" w:pos="1239"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APA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544" w:firstLine="408"/>
        <w:spacing w:after="0" w:line="261" w:lineRule="auto"/>
        <w:tabs>
          <w:tab w:leader="none" w:pos="1229"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APA and the Administrative Agent (in such number of copies as shall be requested by the recipient) on or prior to the date on which such Foreign Lender becomes a Lender under this Agreement (and from time to time thereafter upon the reasonable request of APA or the Administrative Agent), whichever of the following is applicable:</w:t>
      </w:r>
    </w:p>
    <w:p>
      <w:pPr>
        <w:spacing w:after="0" w:line="71" w:lineRule="exact"/>
        <w:rPr>
          <w:rFonts w:ascii="Times New Roman" w:cs="Times New Roman" w:eastAsia="Times New Roman" w:hAnsi="Times New Roman"/>
          <w:sz w:val="18"/>
          <w:szCs w:val="18"/>
          <w:color w:val="auto"/>
        </w:rPr>
      </w:pPr>
    </w:p>
    <w:p>
      <w:pPr>
        <w:ind w:left="984" w:right="20" w:firstLine="391"/>
        <w:spacing w:after="0" w:line="272" w:lineRule="auto"/>
        <w:tabs>
          <w:tab w:leader="none" w:pos="1622" w:val="left"/>
        </w:tabs>
        <w:numPr>
          <w:ilvl w:val="3"/>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w:t>
      </w:r>
    </w:p>
    <w:p>
      <w:pPr>
        <w:spacing w:after="0" w:line="1" w:lineRule="exact"/>
        <w:rPr>
          <w:rFonts w:ascii="Times New Roman" w:cs="Times New Roman" w:eastAsia="Times New Roman" w:hAnsi="Times New Roman"/>
          <w:sz w:val="17"/>
          <w:szCs w:val="17"/>
          <w:color w:val="auto"/>
        </w:rPr>
      </w:pPr>
    </w:p>
    <w:p>
      <w:pPr>
        <w:ind w:left="984"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with respect to any other applicable payments under any Loan Document, an executed copy of IRS Form W-8BEN-E or IRS Form W-8BEN establishing an exemption from, or reduction of, U.S. Federal withholding Tax pursuant to the “business profits” or “other income” article of such tax treaty;</w:t>
      </w:r>
    </w:p>
    <w:p>
      <w:pPr>
        <w:spacing w:after="0" w:line="77" w:lineRule="exact"/>
        <w:rPr>
          <w:rFonts w:ascii="Times New Roman" w:cs="Times New Roman" w:eastAsia="Times New Roman" w:hAnsi="Times New Roman"/>
          <w:sz w:val="17"/>
          <w:szCs w:val="17"/>
          <w:color w:val="auto"/>
        </w:rPr>
      </w:pPr>
    </w:p>
    <w:p>
      <w:pPr>
        <w:ind w:left="984" w:right="340" w:firstLine="391"/>
        <w:spacing w:after="0" w:line="282" w:lineRule="auto"/>
        <w:tabs>
          <w:tab w:leader="none" w:pos="1622"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an executed copy of IRS Form W-8ECI;</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4"/>
          </w:cols>
          <w:pgMar w:left="876" w:top="270" w:right="459" w:bottom="1440" w:gutter="0" w:footer="0" w:header="0"/>
        </w:sectPr>
      </w:pPr>
    </w:p>
    <w:bookmarkStart w:id="60" w:name="page61"/>
    <w:bookmarkEnd w:id="60"/>
    <w:p>
      <w:pPr>
        <w:ind w:left="440" w:right="120" w:firstLine="391"/>
        <w:spacing w:after="0" w:line="257" w:lineRule="auto"/>
        <w:tabs>
          <w:tab w:leader="none" w:pos="1078"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871(h)(3)</w:t>
      </w:r>
    </w:p>
    <w:p>
      <w:pPr>
        <w:spacing w:after="0" w:line="1" w:lineRule="exact"/>
        <w:rPr>
          <w:rFonts w:ascii="Times New Roman" w:cs="Times New Roman" w:eastAsia="Times New Roman" w:hAnsi="Times New Roman"/>
          <w:sz w:val="18"/>
          <w:szCs w:val="18"/>
          <w:color w:val="auto"/>
        </w:rPr>
      </w:pPr>
    </w:p>
    <w:p>
      <w:pPr>
        <w:ind w:left="440" w:right="460" w:firstLine="8"/>
        <w:spacing w:after="0" w:line="260" w:lineRule="auto"/>
        <w:tabs>
          <w:tab w:leader="none" w:pos="72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(y) an executed copy of IRS Form W-8BEN-E or IRS Form W-8BEN; or</w:t>
      </w:r>
    </w:p>
    <w:p>
      <w:pPr>
        <w:spacing w:after="0" w:line="73" w:lineRule="exact"/>
        <w:rPr>
          <w:rFonts w:ascii="Times New Roman" w:cs="Times New Roman" w:eastAsia="Times New Roman" w:hAnsi="Times New Roman"/>
          <w:sz w:val="18"/>
          <w:szCs w:val="18"/>
          <w:color w:val="auto"/>
        </w:rPr>
      </w:pPr>
    </w:p>
    <w:p>
      <w:pPr>
        <w:ind w:left="440" w:right="40" w:firstLine="391"/>
        <w:spacing w:after="0" w:line="256" w:lineRule="auto"/>
        <w:tabs>
          <w:tab w:leader="none" w:pos="1078"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an executed copy of IRS Form W-8IMY, accompanied by IRS Form W-8ECI, IRS Form W-8BEN-E, IRS Form W-8BEN, a U.S. Tax Compliance Certificate substantially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K-3</w:t>
      </w:r>
      <w:r>
        <w:rPr>
          <w:rFonts w:ascii="Times New Roman" w:cs="Times New Roman" w:eastAsia="Times New Roman" w:hAnsi="Times New Roman"/>
          <w:sz w:val="18"/>
          <w:szCs w:val="18"/>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K-4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firstLine="408"/>
        <w:spacing w:after="0" w:line="256" w:lineRule="auto"/>
        <w:tabs>
          <w:tab w:leader="none" w:pos="6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APA and the Administrative Agent (in such number of copies as shall be requested by the recipient) on or prior to the date on which such Foreign Lender becomes a Lender under this Agreement (and from time to time thereafter upon the reasonable request of APA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APA or the Administrative Agent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firstLine="408"/>
        <w:spacing w:after="0" w:line="254" w:lineRule="auto"/>
        <w:tabs>
          <w:tab w:leader="none" w:pos="6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the Administrative Agent under any Loan Document would be subject to U.S. federal withholding Tax imposed by FATCA if such Lender, Administrative Agent were to fail to comply with the applicable reporting requirements of FATCA (including those contained in Section 1471(b) or 1472(b) of the Code, as applicable), such Lender, Administrative Agent shall deliver to APA and the Administrative Agent at the time or times prescribed by law and at such time or times reasonably requested by APA or the Administrative Agent such documentation prescribed by applicable law (including as prescribed by</w:t>
      </w:r>
    </w:p>
    <w:p>
      <w:pPr>
        <w:spacing w:after="0" w:line="3" w:lineRule="exact"/>
        <w:rPr>
          <w:rFonts w:ascii="Times New Roman" w:cs="Times New Roman" w:eastAsia="Times New Roman" w:hAnsi="Times New Roman"/>
          <w:sz w:val="18"/>
          <w:szCs w:val="18"/>
          <w:color w:val="auto"/>
        </w:rPr>
      </w:pPr>
    </w:p>
    <w:p>
      <w:pPr>
        <w:ind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1471(b)(3)(C)(i) of the Code) and such additional documentation reasonably requested by APA or the Administrative Agent as may be necessary for APA and the Administrative Agent to comply with their obligations under FATCA and to determine that such Lender, Administrative Agent has complied with the obligations of such Lender, Administrative Agent under FATCA or to determine the amount to deduct and withhold from such payment. Solely for purposes of this clause (D), “FATCA” shall include any amendments made to FATCA after the date of this Agreement.</w:t>
      </w:r>
    </w:p>
    <w:p>
      <w:pPr>
        <w:spacing w:after="0" w:line="1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980"/>
          </w:cols>
          <w:pgMar w:left="1420" w:top="270" w:right="499" w:bottom="1440" w:gutter="0" w:footer="0" w:header="0"/>
        </w:sectPr>
      </w:pPr>
    </w:p>
    <w:bookmarkStart w:id="61" w:name="page62"/>
    <w:bookmarkEnd w:id="6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APA and the Administrative Agent in writing of its legal inability to do so.</w:t>
      </w:r>
    </w:p>
    <w:p>
      <w:pPr>
        <w:spacing w:after="0" w:line="162" w:lineRule="exact"/>
        <w:rPr>
          <w:sz w:val="20"/>
          <w:szCs w:val="20"/>
          <w:color w:val="auto"/>
        </w:rPr>
      </w:pPr>
    </w:p>
    <w:p>
      <w:pPr>
        <w:ind w:left="660" w:hanging="224"/>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If any party determines, in its sole discretion exercised in good faith, that it has received a refund of any Taxes as to which it has been paid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it shall pay to the paying party an amount equal to such refund (but only to the extent of payments made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with respect to the Taxes giving rise to such refund), net of all out-of-pocket expenses (including Taxes) of such party and without interest (other than any interest paid by the relevant Governmental Authority with respect to such refund). Such paying party, upon the request of such party, shall repay to such party the amount paid over pursuant to this paragraph (g) (plus any penalties, interest or other charges imposed by the relevant Governmental Authority) in the event that such party is required to repay such refund to such Governmental Authority. Notwithstanding anything to the contrary in this paragraph (g), in no event will such party be required to pay any amount to a paying party pursuant to this paragraph (g) the payment of which would place such party in a less favorable net after-Tax position than such party would have been in if the Tax subject to payment and giving rise to such refund had not been deducted, withheld or otherwise imposed and the payments or additional amounts with respect to such Tax had never been paid. This paragraph shall not be construed to require any such party to make available its Tax returns (or any other information relating to its Taxes that it deems confidential) to the paying party or any other Person.</w:t>
      </w:r>
    </w:p>
    <w:p>
      <w:pPr>
        <w:spacing w:after="0" w:line="189"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other obligations under any Loan Document.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the term “applicable law” includes FATCA.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6"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make each payment required to be made by it to the Administrative Agent hereunder (whether of principal, interest or fees, or of amounts payable under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otherwise)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4041 Ogletown Stanton Rd, Floor 02 Newark, DE, 19713-3159 , Attention: Jacob McNett, Telephone: 302-634-3367, Email: </w:t>
      </w:r>
      <w:r>
        <w:rPr>
          <w:rFonts w:ascii="Times New Roman" w:cs="Times New Roman" w:eastAsia="Times New Roman" w:hAnsi="Times New Roman"/>
          <w:sz w:val="18"/>
          <w:szCs w:val="18"/>
          <w:u w:val="single" w:color="auto"/>
          <w:color w:val="auto"/>
        </w:rPr>
        <w:t>jacob.mcnett@chase.com</w:t>
      </w:r>
      <w:r>
        <w:rPr>
          <w:rFonts w:ascii="Times New Roman" w:cs="Times New Roman" w:eastAsia="Times New Roman" w:hAnsi="Times New Roman"/>
          <w:sz w:val="18"/>
          <w:szCs w:val="18"/>
          <w:color w:val="auto"/>
        </w:rPr>
        <w:t>. The Administrative Agent shall distribute any such payments received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62" w:name="page63"/>
    <w:bookmarkEnd w:id="6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US Dollars.</w:t>
      </w:r>
    </w:p>
    <w:p>
      <w:pPr>
        <w:spacing w:after="0" w:line="176" w:lineRule="exact"/>
        <w:rPr>
          <w:sz w:val="20"/>
          <w:szCs w:val="20"/>
          <w:color w:val="auto"/>
        </w:rPr>
      </w:pPr>
    </w:p>
    <w:p>
      <w:pPr>
        <w:ind w:right="60" w:firstLine="436"/>
        <w:spacing w:after="0" w:line="256"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insufficient funds are received by and available to the Administrative Agent to pay fully all amounts of principal,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then due hereunder, ratably among the parties entitled thereto in accordance with the amounts of principal then due to such parties. If insufficient funds are received due to Borrower’s entitlement to withhold amounts on account of Excluded Taxes in relation to a particular Lender, such insufficiency shall not be subject to this </w:t>
      </w:r>
      <w:r>
        <w:rPr>
          <w:rFonts w:ascii="Times New Roman" w:cs="Times New Roman" w:eastAsia="Times New Roman" w:hAnsi="Times New Roman"/>
          <w:sz w:val="18"/>
          <w:szCs w:val="18"/>
          <w:u w:val="single" w:color="auto"/>
          <w:color w:val="auto"/>
        </w:rPr>
        <w:t>Section 2.17(b)</w:t>
      </w:r>
      <w:r>
        <w:rPr>
          <w:rFonts w:ascii="Times New Roman" w:cs="Times New Roman" w:eastAsia="Times New Roman" w:hAnsi="Times New Roman"/>
          <w:sz w:val="18"/>
          <w:szCs w:val="18"/>
          <w:color w:val="auto"/>
        </w:rPr>
        <w:t xml:space="preserve"> but shall be withheld from and shall only affect payments made to such Lender.</w:t>
      </w:r>
    </w:p>
    <w:p>
      <w:pPr>
        <w:spacing w:after="0" w:line="187" w:lineRule="exact"/>
        <w:rPr>
          <w:rFonts w:ascii="Times New Roman" w:cs="Times New Roman" w:eastAsia="Times New Roman" w:hAnsi="Times New Roman"/>
          <w:sz w:val="18"/>
          <w:szCs w:val="18"/>
          <w:color w:val="auto"/>
        </w:rPr>
      </w:pPr>
    </w:p>
    <w:p>
      <w:pPr>
        <w:ind w:right="40" w:firstLine="436"/>
        <w:spacing w:after="0" w:line="253"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to the extent necessary so that the benefit of all such payments shall be shared by the Lenders ratably in accordance with the aggregate amount of principal of and accrued interest on their respective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Borrower pursuant to and in accordance with the express terms of this Agreement or any payment obtained by a Lender as consideration for the assignment of or sale of a participation in any of its Loans to any assignee or participant, other than to Borrower or any Subsidiary or Affiliate thereof (as to which the provisions of this paragraph shall apply). Borrower consents to the foregoing and agrees, to the extent it may effectively do so under applicable law, that any Lender acquiring a participation pursuant to the foregoing arrangements may exercise against Borrower rights of set-off and counterclaim with respect to such participation as fully as if such Lender were a direct creditor of Borrower in the amount of such participation.</w:t>
      </w:r>
    </w:p>
    <w:p>
      <w:pPr>
        <w:spacing w:after="0" w:line="18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Borrower prior to the date on which any payment is due to the Administrative Agent for the account of the Lenders pursuant to the terms hereof or any other Loan Document (including any date that is fixed for prepayment by notice from the Borrower to the Administrative Agent pursuant to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that Borrower will not make such payment, the Administrative Agent may assume that Borrower has made such payment on such date in accordance herewith and may, in reliance upon such assumption, distribute to the Lenders the amount due. In such event, if Borrower has not in fact made such payment, then each of the Lenders or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63" w:name="page64"/>
    <w:bookmarkEnd w:id="63"/>
    <w:p>
      <w:pPr>
        <w:ind w:left="4" w:firstLine="436"/>
        <w:spacing w:after="0" w:line="256" w:lineRule="auto"/>
        <w:tabs>
          <w:tab w:leader="none" w:pos="68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the Agreement, then the Administrative Agent may, in its discretion, notwithstanding any contrary provision hereof, (i) apply any amounts thereafter received by the Administrative Agent for the account of such Lender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reasonable discretion.</w:t>
      </w:r>
    </w:p>
    <w:p>
      <w:pPr>
        <w:spacing w:after="0" w:line="187" w:lineRule="exact"/>
        <w:rPr>
          <w:rFonts w:ascii="Times New Roman" w:cs="Times New Roman" w:eastAsia="Times New Roman" w:hAnsi="Times New Roman"/>
          <w:sz w:val="18"/>
          <w:szCs w:val="18"/>
          <w:color w:val="auto"/>
        </w:rPr>
      </w:pPr>
    </w:p>
    <w:p>
      <w:pPr>
        <w:jc w:val="both"/>
        <w:ind w:left="4" w:right="40" w:firstLine="436"/>
        <w:spacing w:after="0" w:line="270" w:lineRule="auto"/>
        <w:tabs>
          <w:tab w:leader="none" w:pos="669"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or anything to the contrary contained herein, if any Defaulting Lender shall have failed to fund a Loan forming any portion of a Borrowing (each such Loan, an “</w:t>
      </w:r>
      <w:r>
        <w:rPr>
          <w:rFonts w:ascii="Times New Roman" w:cs="Times New Roman" w:eastAsia="Times New Roman" w:hAnsi="Times New Roman"/>
          <w:sz w:val="17"/>
          <w:szCs w:val="17"/>
          <w:u w:val="single" w:color="auto"/>
          <w:color w:val="auto"/>
        </w:rPr>
        <w:t>Affected Loan</w:t>
      </w:r>
      <w:r>
        <w:rPr>
          <w:rFonts w:ascii="Times New Roman" w:cs="Times New Roman" w:eastAsia="Times New Roman" w:hAnsi="Times New Roman"/>
          <w:sz w:val="17"/>
          <w:szCs w:val="17"/>
          <w:color w:val="auto"/>
        </w:rPr>
        <w:t>”), (i) each payment by Borrower on account of the interest on such Borrowing shall be distributed to each Lender that is not a Defaulting Lender (each, a “</w:t>
      </w:r>
      <w:r>
        <w:rPr>
          <w:rFonts w:ascii="Times New Roman" w:cs="Times New Roman" w:eastAsia="Times New Roman" w:hAnsi="Times New Roman"/>
          <w:sz w:val="17"/>
          <w:szCs w:val="17"/>
          <w:u w:val="single" w:color="auto"/>
          <w:color w:val="auto"/>
        </w:rPr>
        <w:t>Non-Defaulting Lender</w:t>
      </w:r>
      <w:r>
        <w:rPr>
          <w:rFonts w:ascii="Times New Roman" w:cs="Times New Roman" w:eastAsia="Times New Roman" w:hAnsi="Times New Roman"/>
          <w:sz w:val="17"/>
          <w:szCs w:val="17"/>
          <w:color w:val="auto"/>
        </w:rPr>
        <w:t xml:space="preserve">”) pro rata based on the outstanding principal amount of such Borrowing owing to all Non-Defaulting Lenders, and (ii) each prepayment of a Borrowing by Borrower pursuant to </w:t>
      </w:r>
      <w:r>
        <w:rPr>
          <w:rFonts w:ascii="Times New Roman" w:cs="Times New Roman" w:eastAsia="Times New Roman" w:hAnsi="Times New Roman"/>
          <w:sz w:val="17"/>
          <w:szCs w:val="17"/>
          <w:u w:val="single" w:color="auto"/>
          <w:color w:val="auto"/>
        </w:rPr>
        <w:t>Section 2.10</w:t>
      </w:r>
      <w:r>
        <w:rPr>
          <w:rFonts w:ascii="Times New Roman" w:cs="Times New Roman" w:eastAsia="Times New Roman" w:hAnsi="Times New Roman"/>
          <w:sz w:val="17"/>
          <w:szCs w:val="17"/>
          <w:color w:val="auto"/>
        </w:rPr>
        <w:t xml:space="preserve"> shall be distributed</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each Non-Defaulting Lender pro rata based on the outstanding principal amount of such Borrowing owing to all Non-Defaulting Lenders, until the principal amount of such Borrowing (other than the Affected Loans) has been repaid in full and (y) to the extent of any remaining amount of such prepayment relating to such Borrowing, to each Lender which has amounts outstanding with respect to such Borrowing pro rata in accordance with such Lender’s Applicable Percentage.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36"/>
        <w:spacing w:after="0" w:line="255" w:lineRule="auto"/>
        <w:tabs>
          <w:tab w:leader="none" w:pos="6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if Borrower is required to pay any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then such Lender shall use reasonable efforts to designate a different Applicable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Borrower hereby agrees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if Borrower is required to pay any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if any Lender defaults in its obligation to fund Loans hereunder, or if any Lender is a Defaulting Lender hereunder, then Borrower may upon notice to such Lender and the Administrative Agent, require such Lender to assign and delegate, without recourse or expense to, or warranty by, such Lender (in accordance with and subject to the restrictions contained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all its interests, rights (other than its existing rights to payments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and obligations under this Agreement to an assignee designated by Borrower which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70" w:right="459" w:bottom="1440" w:gutter="0" w:footer="0" w:header="0"/>
        </w:sectPr>
      </w:pPr>
    </w:p>
    <w:bookmarkStart w:id="64" w:name="page65"/>
    <w:bookmarkEnd w:id="64"/>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meets the requirements of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Borrower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Borrower (in the case of all other amounts), (iii) the assignee and assignor shall have entered into an Assignment and Assumption, and (iv) in the case of any such assignment resulting from a claim for compensation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Borrower hereby agrees to pay all reasonable costs and expenses incurred by any assigning Lender in connection with any such assignment.</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left="680" w:hanging="244"/>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Ticking Fees shall cease to accrue on the Commitment of such Defaulting Lender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be applied at such time or times as may be determined by the Administrative Agent as follows: first, to the payment of any amounts owing by such Defaulting Lender to the Administrative Agent hereunder; second, as APA may request (so long as no Default or Event of Default exists), to the funding of any Loan in respect of which such Defaulting Lender has failed to fund its portion thereof as required by this Agreement, as determined by the Administrative Agent; third, if so determined by the Administrative Agent and APA, to be held in a deposit account and released pro rata in order to satisfy such Defaulting Lender’s potential future funding obligations with respect to Loans under this Agreement; fourth, to the payment of any amounts owing to the Lenders as a result of any judgment of a court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65" w:name="page66"/>
    <w:bookmarkEnd w:id="65"/>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competent jurisdiction obtained by any Lender against such Defaulting Lender as a result of such Defaulting Lender’s breach of its obligations under this Agreement or under any other Loan Document; fifth,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sixth,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on a pro rata basis prior to being applied to the payment of any Loans of such Defaulting Lender until such time as all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92" w:lineRule="exact"/>
        <w:rPr>
          <w:sz w:val="20"/>
          <w:szCs w:val="20"/>
          <w:color w:val="auto"/>
        </w:rPr>
      </w:pPr>
    </w:p>
    <w:p>
      <w:pPr>
        <w:ind w:right="40" w:firstLine="436"/>
        <w:spacing w:after="0" w:line="258"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 and Credit Exposure of such Defaulting Lender shall not be included (in either the calculation of aggregate Commitments, outstanding Obligations or otherwise) in determining whether the Required Lenders or the Tranche Majority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(c) shall not apply to the vote of a Defaulting Lender in the case of an amendment, waiver or other modification requiring the consent of such Lender as a Lender affected thereby pursuant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may elect to replace any Defaulting Lender in accordance with the provisions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In the event that the Administrative Agent and Borrower each agrees that a Defaulting Lender has adequately remedied all matters that caused such Lender to be a Defaulting Lender, then the Credit Exposure of the Lenders shall be readjusted to reflect the inclusion of such Lender’s Commitment or Loans and on such date, such Lender shall purchase at par such of the Loans of the other Lenders as the Administrative Agent shall determine may be necessary in order for such Lender to hold such Loans in accordance with its Applicable Percentage.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order to induce the Lenders and the Agents to enter into this Agreement and the Lenders to make Loans hereunder, as of the Effective Date and as of the Closing Date, the Borrower represents and warrants unto the Agents and each Lender as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(it being understood that the conditions to the Closing Date are only those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60"/>
          </w:cols>
          <w:pgMar w:left="440" w:top="270" w:right="499" w:bottom="1440" w:gutter="0" w:footer="0" w:header="0"/>
        </w:sectPr>
      </w:pPr>
    </w:p>
    <w:bookmarkStart w:id="66" w:name="page67"/>
    <w:bookmarkEnd w:id="66"/>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APA is a corporation, and each of its Subsidiaries is a corporation or other legal entity, in either case duly incorporated or otherwise properly organized, validly existing and in good standing under the laws of its jurisdiction of incorporation or organization and has all requisite authority, permits and approvals, and is in good standing to conduct its business in each jurisdiction in which its business is conducted where the failure to so qualify would have a Material Adverse Effect.</w:t>
      </w:r>
    </w:p>
    <w:p>
      <w:pPr>
        <w:spacing w:after="0" w:line="180"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Authorization and Validity</w:t>
      </w:r>
      <w:r>
        <w:rPr>
          <w:rFonts w:ascii="Times New Roman" w:cs="Times New Roman" w:eastAsia="Times New Roman" w:hAnsi="Times New Roman"/>
          <w:sz w:val="18"/>
          <w:szCs w:val="18"/>
          <w:color w:val="auto"/>
        </w:rPr>
        <w:t xml:space="preserve">. The execution, delivery and performance by Borrower of each Loan Document executed or to be executed by it (a) are within Borrower’s corporate, limited liability company, partnership or other similar powers, as applicable, have been duly authorized by all necessary corporate, limited liability company, partnership or other similar action on behalf of it, and (b) do not (i) contravene Borrower’s and Guarantor’s, as applicable, certificate of incorporation or other organizational documents, as the case may be; (ii) contravene any material contractual restriction, law or governmental regulation or court decree or order binding on or affecting Borrower or any Subsidiary; (iii) result in, or require the creation or imposition of, any Lien, not permitted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on any of Borrower’s or any Subsidiary’s properties or</w:t>
      </w:r>
    </w:p>
    <w:p>
      <w:pPr>
        <w:spacing w:after="0" w:line="5" w:lineRule="exact"/>
        <w:rPr>
          <w:sz w:val="20"/>
          <w:szCs w:val="20"/>
          <w:color w:val="auto"/>
        </w:rPr>
      </w:pPr>
    </w:p>
    <w:p>
      <w:pPr>
        <w:ind w:left="4" w:hanging="4"/>
        <w:spacing w:after="0" w:line="253" w:lineRule="auto"/>
        <w:tabs>
          <w:tab w:leader="none" w:pos="3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any material debt instruments of the Borrower or its Subsidiaries (after giving effect to the Acquisition) governing indebtedness for borrowed money in an outstanding principal amount or committed amount in excess of $250,000,000. Each Loan Document executed by Borrower will, on the due execution and delivery thereof, constitute, the legal, valid and binding obligations of Borrower enforceable in accordance with their respective terms subject as to enforcement only to bankruptcy, insolvency, reorganization, moratorium or other similar laws affecting the enforcement of creditor rights generally and to general principles of equity.</w:t>
      </w:r>
    </w:p>
    <w:p>
      <w:pPr>
        <w:spacing w:after="0" w:line="187" w:lineRule="exact"/>
        <w:rPr>
          <w:sz w:val="20"/>
          <w:szCs w:val="20"/>
          <w:color w:val="auto"/>
        </w:rPr>
      </w:pPr>
    </w:p>
    <w:p>
      <w:pPr>
        <w:ind w:left="4" w:right="5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Government Approval and Regulation</w:t>
      </w:r>
      <w:r>
        <w:rPr>
          <w:rFonts w:ascii="Times New Roman" w:cs="Times New Roman" w:eastAsia="Times New Roman" w:hAnsi="Times New Roman"/>
          <w:sz w:val="18"/>
          <w:szCs w:val="18"/>
          <w:color w:val="auto"/>
        </w:rPr>
        <w:t>. No authorization or approval or other action by, and no notice to or filing with, any governmental authority or regulatory body or other Person is required for the due execution, delivery or performance by Borrower of any Loan Document to which it is a party. Neither Borrower nor any of its Subsidiaries is an “investment company,” within the meaning of the Investment Company Act of 1940, as amended.</w:t>
      </w:r>
    </w:p>
    <w:p>
      <w:pPr>
        <w:spacing w:after="0" w:line="180"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Pension and Welfare Plans</w:t>
      </w:r>
      <w:r>
        <w:rPr>
          <w:rFonts w:ascii="Times New Roman" w:cs="Times New Roman" w:eastAsia="Times New Roman" w:hAnsi="Times New Roman"/>
          <w:sz w:val="18"/>
          <w:szCs w:val="18"/>
          <w:color w:val="auto"/>
        </w:rPr>
        <w:t>. During the twelve-consecutive-month period prior to the date of the execution and delivery of this Agreement and prior to the date of any Borrowing hereunder, no steps have been taken to terminate any Pension Plan, and no contribution failure has occurred with respect to any Pension Plan sufficient to give rise to a lien under Section 302(f) of ERISA. No condition exists or event or transaction has occurred with respect to any Pension Plan which would result in the incurrence by Borrower or any member of the Controlled Group of any liability, fine or penalty in excess of $150,000,000. Neither Borrower nor any member of the Controlled Group has any contingent liability with respect to any post-retirement benefit under a Welfare Plan, other than liability for continuation coverage described in Part 6 of Title I of ERISA.</w:t>
      </w:r>
    </w:p>
    <w:p>
      <w:pPr>
        <w:spacing w:after="0" w:line="18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Borrower is not engaged in the business of extending credit for the purpose of purchasing or carrying margin stock, and no proceeds of any Loan will be used for a purpose which violates, or would be inconsistent with, Regulation U. Terms for which meanings are provided in Regulations U are used in this Section with such meanings.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4"/>
          </w:cols>
          <w:pgMar w:left="436" w:top="270" w:right="479" w:bottom="1440" w:gutter="0" w:footer="0" w:header="0"/>
        </w:sectPr>
      </w:pPr>
    </w:p>
    <w:bookmarkStart w:id="67" w:name="page68"/>
    <w:bookmarkEnd w:id="6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Borrower and each of its Subsidiaries has to the best knowledge of Borrower after due investigation filed all tax returns and reports required by law to have been filed by it and has paid all taxes and governmental charges thereby shown to be owing, except any such taxes or charges which are being contested in good faith by appropriate proceedings and for which adequate reserves in accordance with GAAP shall have been set aside on its books or which the failure to file or pay could not reasonably be expected to have a Material Adverse Effect.</w:t>
      </w:r>
    </w:p>
    <w:p>
      <w:pPr>
        <w:spacing w:after="0" w:line="18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Subsidiaries; Restricted Subsidiaries</w:t>
      </w:r>
      <w:r>
        <w:rPr>
          <w:rFonts w:ascii="Times New Roman" w:cs="Times New Roman" w:eastAsia="Times New Roman" w:hAnsi="Times New Roman"/>
          <w:sz w:val="18"/>
          <w:szCs w:val="18"/>
          <w:color w:val="auto"/>
        </w:rPr>
        <w:t>. Schedule 3.7 hereto contains an accurate list of all of the presently existing Subsidiaries, including, without limitation, Restricted Subsidiaries, as of the date of this Agreement, setting forth their respective jurisdictions of incorporation or organization and the percentage of their respective capital stock or, the revenue share attributable to the general and limited partnership interests, as the case may be, owned by APA or its Subsidiaries. All of the issued and outstanding shares of capital stock of such Subsidiaries which are corporations have been duly authorized and issued and are fully paid and non-assessable.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As of the Effective Date, no Default or Event of Default exists.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xml:space="preserve">. Borrower has implemented and maintains in effect policies and procedures designed to achieve compliance by Borrower, its Subsidiaries and their respective directors, officers, employees and agents (acting in their capacity as such) with applicable Anti-Corruption Laws and Sanctions. Borrower and each of its Subsidiaries is in compliance with all applicable Anti-Corruption Laws and Sanctions in all material respects. None of (i) Borrower or any Subsidiary, (ii) any director or officer of Borrower or any Subsidiary, or (iii) to the knowledge of Borrower, any employee or agent of Borrower or any Subsidiary (in each case, acting in their capacity as such), is a Sanctioned Person. The parties to this Agreement agree that any writing or certificate furnished by or on behalf of Borrower to the Administrative Agent, any other Agent, or any Lender for the purposes of or in connection with this Agreement with respect to Anti-Corruption Laws or Sanctions may be made consistent with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This Agreement shall become effective upon the prior or concurrent satisfaction of each of the conditions precedent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36"/>
        <w:spacing w:after="0" w:line="266"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Apache Guaranty</w:t>
      </w:r>
      <w:r>
        <w:rPr>
          <w:rFonts w:ascii="Times New Roman" w:cs="Times New Roman" w:eastAsia="Times New Roman" w:hAnsi="Times New Roman"/>
          <w:sz w:val="18"/>
          <w:szCs w:val="18"/>
          <w:color w:val="auto"/>
        </w:rPr>
        <w:t xml:space="preserve">. The Administrative Agent (or its counsel) shall have received from each party hereto a counterpart of this Agreement and the Apache Guaranty signed on behalf of such party (which, subject to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may include any Electronic Signatures transmitted by telecopy, emailed pdf. or any other electronic means that reproduces an image of an actual executed signature page).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70" w:right="479" w:bottom="1440" w:gutter="0" w:footer="0" w:header="0"/>
        </w:sectPr>
      </w:pPr>
    </w:p>
    <w:bookmarkStart w:id="68" w:name="page69"/>
    <w:bookmarkEnd w:id="68"/>
    <w:p>
      <w:pPr>
        <w:ind w:firstLine="436"/>
        <w:spacing w:after="0" w:line="255"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Resolutions and Officers Certificates</w:t>
      </w:r>
      <w:r>
        <w:rPr>
          <w:rFonts w:ascii="Times New Roman" w:cs="Times New Roman" w:eastAsia="Times New Roman" w:hAnsi="Times New Roman"/>
          <w:sz w:val="18"/>
          <w:szCs w:val="18"/>
          <w:color w:val="auto"/>
        </w:rPr>
        <w:t>. The Administrative Agent shall have received from each of Borrower and Apache a certificate, dated the Effective Date, of the Secretary or Assistant Secretary of Borrower and Apache, as applicable, as to (i) resolutions of its governing board, then in full force and effect authorizing the execution, delivery and performance of this Agreement and each other Loan Document to be executed by it; (ii) the incumbency and signatures of those of its officers authorized to act with respect to this Agreement and each other Loan Document executed by it; (iii) its certificate of incorporation and bylaws and (iv) good standing certificate for the Borrower from its jurisdiction of organization; upon which certificates each Lender may conclusively rely until it shall have received a further certificate of an authorized officer of Borrower or Apache, as applicable, canceling or amending such prior certificate.</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The Administrative Agent shall have received opinions, dated the Effective Date, addressed to the Administrative Agent, the other Agents and all Lenders, from Bracewell LLP, counsel to Borrower, in form and substance acceptable to the Administrative Agent, in its reasonable discretion.</w:t>
      </w:r>
    </w:p>
    <w:p>
      <w:pPr>
        <w:spacing w:after="0" w:line="175" w:lineRule="exact"/>
        <w:rPr>
          <w:rFonts w:ascii="Times New Roman" w:cs="Times New Roman" w:eastAsia="Times New Roman" w:hAnsi="Times New Roman"/>
          <w:sz w:val="18"/>
          <w:szCs w:val="18"/>
          <w:color w:val="auto"/>
        </w:rPr>
      </w:pPr>
    </w:p>
    <w:p>
      <w:pPr>
        <w:ind w:right="320" w:firstLine="436"/>
        <w:spacing w:after="0" w:line="282"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Fees and Expenses</w:t>
      </w:r>
      <w:r>
        <w:rPr>
          <w:rFonts w:ascii="Times New Roman" w:cs="Times New Roman" w:eastAsia="Times New Roman" w:hAnsi="Times New Roman"/>
          <w:sz w:val="18"/>
          <w:szCs w:val="18"/>
          <w:color w:val="auto"/>
        </w:rPr>
        <w:t>. The Administrative Agent shall have received for its own account, or for the account of each Lender and other Agent, as the case may be, all fees, costs and expenses due and payable pursuant hereto.</w:t>
      </w:r>
    </w:p>
    <w:p>
      <w:pPr>
        <w:spacing w:after="0" w:line="161"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Administrative Agent shall have received a certificate, signed by an Authorized Officer of APA, stating that the audited consolidated financial statements of (i) APA and its Subsidiaries for fiscal year 2022 and (ii) Apache and its Subsidiaries for fiscal year 2022 (collectively, the “</w:t>
      </w:r>
      <w:r>
        <w:rPr>
          <w:rFonts w:ascii="Times New Roman" w:cs="Times New Roman" w:eastAsia="Times New Roman" w:hAnsi="Times New Roman"/>
          <w:sz w:val="18"/>
          <w:szCs w:val="18"/>
          <w:u w:val="single" w:color="auto"/>
          <w:color w:val="auto"/>
        </w:rPr>
        <w:t>2022 Financials</w:t>
      </w:r>
      <w:r>
        <w:rPr>
          <w:rFonts w:ascii="Times New Roman" w:cs="Times New Roman" w:eastAsia="Times New Roman" w:hAnsi="Times New Roman"/>
          <w:sz w:val="18"/>
          <w:szCs w:val="18"/>
          <w:color w:val="auto"/>
        </w:rPr>
        <w:t>”) fairly present the financial condition and results of operations of APA and Apache, respectively, and that prior to the Effective Date no material adverse change in the condition or operations of APA and its Subsidiaries, taken as a whole, from that reflected in the 2022 Financials has occurred and is continuing excluding (i) any credit rating downgrades of APA or Apache, respectively, and (ii) the effects of non-cash write-downs, impairments, and related charges of APA or Apache, respectively, including, without limitation, those which may be required under Financial Accounting Standards Board Accounting Standards Codification 360 or Rule 4-10 (Financial Accounting and Reporting for Oil and Gas Producing Activities Pursuant to the Federal Securities Laws and the Energy Policy and Conservation Act of 1975) of Regulation S-X promulgated by the SEC or by GAAP.</w:t>
      </w:r>
    </w:p>
    <w:p>
      <w:pPr>
        <w:spacing w:after="0" w:line="188" w:lineRule="exact"/>
        <w:rPr>
          <w:rFonts w:ascii="Times New Roman" w:cs="Times New Roman" w:eastAsia="Times New Roman" w:hAnsi="Times New Roman"/>
          <w:sz w:val="18"/>
          <w:szCs w:val="18"/>
          <w:color w:val="auto"/>
        </w:rPr>
      </w:pPr>
    </w:p>
    <w:p>
      <w:pPr>
        <w:ind w:right="80" w:firstLine="436"/>
        <w:spacing w:after="0" w:line="254" w:lineRule="auto"/>
        <w:tabs>
          <w:tab w:leader="none" w:pos="66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Warranties</w:t>
      </w:r>
      <w:r>
        <w:rPr>
          <w:rFonts w:ascii="Times New Roman" w:cs="Times New Roman" w:eastAsia="Times New Roman" w:hAnsi="Times New Roman"/>
          <w:sz w:val="18"/>
          <w:szCs w:val="18"/>
          <w:color w:val="auto"/>
        </w:rPr>
        <w:t>. In the ordinary course of its business, APA conducts an ongoing review of the effect of existing Environmental Laws on the business, operations and properties of APA and its Subsidiaries, in the course of which it attempts to identify and evaluate associated liabilities and costs (including, without limitation, any capital or operating expenditures required for clean-up or closure of properties presently or previously owned, any capital or operating expenditures required to achieve or maintain compliance with environmental protection standards imposed by law or as a condition of any license, permit or contract, any related constraints on operating activities, including any periodic or permanent shutdown of any facility or reduction in the level of or change in the nature of operations conducted thereat and any actual or potential liabilities to third parties, including employees, and any related costs and expenses). On the basis of this review, the Administrative Agent shall have received a certificate, signed by an Authorized Officer of APA, stating that after such review APA has reasonably concluded that existing Environmental Laws are unlikely to have a Material Adverse Effect, or that APA has established adequate reserves in respect of any required clean-up or other remediation.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69" w:name="page70"/>
    <w:bookmarkEnd w:id="69"/>
    <w:p>
      <w:pPr>
        <w:ind w:left="700" w:hanging="264"/>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Notice</w:t>
      </w:r>
      <w:r>
        <w:rPr>
          <w:rFonts w:ascii="Times New Roman" w:cs="Times New Roman" w:eastAsia="Times New Roman" w:hAnsi="Times New Roman"/>
          <w:sz w:val="18"/>
          <w:szCs w:val="18"/>
          <w:color w:val="auto"/>
        </w:rPr>
        <w:t>. The Administrative Agent shall have received the Effectiveness Notice.</w:t>
      </w:r>
    </w:p>
    <w:p>
      <w:pPr>
        <w:spacing w:after="0" w:line="225"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 Administrative Agent shall have received a certificate, signed by an Authorized Officer of APA, stating that no litigation, arbitration, governmental proceeding, Tax claim, dispute or administrative or other proceeding shall be pending or, to the knowledge of APA, threatened against APA or any of its Subsidiaries which could reasonably be expected to have a Material Adverse Effect or which purports to affect the legality, validity or enforceability of this Agreement or any other Loan Document.</w:t>
      </w:r>
    </w:p>
    <w:p>
      <w:pPr>
        <w:spacing w:after="0" w:line="179" w:lineRule="exact"/>
        <w:rPr>
          <w:rFonts w:ascii="Times New Roman" w:cs="Times New Roman" w:eastAsia="Times New Roman" w:hAnsi="Times New Roman"/>
          <w:sz w:val="18"/>
          <w:szCs w:val="18"/>
          <w:color w:val="auto"/>
        </w:rPr>
      </w:pPr>
    </w:p>
    <w:p>
      <w:pPr>
        <w:ind w:right="420" w:firstLine="436"/>
        <w:spacing w:after="0" w:line="266"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Requirements</w:t>
      </w:r>
      <w:r>
        <w:rPr>
          <w:rFonts w:ascii="Times New Roman" w:cs="Times New Roman" w:eastAsia="Times New Roman" w:hAnsi="Times New Roman"/>
          <w:sz w:val="18"/>
          <w:szCs w:val="18"/>
          <w:color w:val="auto"/>
        </w:rPr>
        <w:t>. The Administrative Agent on behalf of the various Lenders shall have received all documentation and other information required by regulatory authorities with respect to Borrower and any other Loan Party under applicable “know your customer” and anti-money laundering rules.</w:t>
      </w:r>
    </w:p>
    <w:p>
      <w:pPr>
        <w:spacing w:after="0" w:line="175" w:lineRule="exact"/>
        <w:rPr>
          <w:rFonts w:ascii="Times New Roman" w:cs="Times New Roman" w:eastAsia="Times New Roman" w:hAnsi="Times New Roman"/>
          <w:sz w:val="18"/>
          <w:szCs w:val="18"/>
          <w:color w:val="auto"/>
        </w:rPr>
      </w:pPr>
    </w:p>
    <w:p>
      <w:pPr>
        <w:ind w:right="420" w:firstLine="436"/>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Bridge Commitments</w:t>
      </w:r>
      <w:r>
        <w:rPr>
          <w:rFonts w:ascii="Times New Roman" w:cs="Times New Roman" w:eastAsia="Times New Roman" w:hAnsi="Times New Roman"/>
          <w:sz w:val="18"/>
          <w:szCs w:val="18"/>
          <w:color w:val="auto"/>
        </w:rPr>
        <w:t>. The Arrangers party to the Bridge Commitment Letter shall have received from Borrower a bridge reduction notice stating that this Agreement constitutes a “Qualifying Term Loan Facility” (as defined in the Bridge Loan Commitment Letter).</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Administrative Agent shall have received such other instruments and documents as any of the Agents or their counsel may have reasonably requested.</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Borrower, the other Agents and the Lenders of the Effective Date, and such notice shall be conclusive and binding.</w:t>
      </w:r>
    </w:p>
    <w:p>
      <w:pPr>
        <w:spacing w:after="0" w:line="16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obligation of each Lender to fund any Loan shall be subject to the satisfaction of each of the conditions precedent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on or prior to the Commitment Termination Date.</w:t>
      </w:r>
    </w:p>
    <w:p>
      <w:pPr>
        <w:spacing w:after="0" w:line="162" w:lineRule="exact"/>
        <w:rPr>
          <w:sz w:val="20"/>
          <w:szCs w:val="20"/>
          <w:color w:val="auto"/>
        </w:rPr>
      </w:pPr>
    </w:p>
    <w:p>
      <w:pPr>
        <w:ind w:left="680" w:hanging="244"/>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Effective Date shall have occurred.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Warranties and No Default</w:t>
      </w:r>
      <w:r>
        <w:rPr>
          <w:rFonts w:ascii="Times New Roman" w:cs="Times New Roman" w:eastAsia="Times New Roman" w:hAnsi="Times New Roman"/>
          <w:sz w:val="18"/>
          <w:szCs w:val="18"/>
          <w:color w:val="auto"/>
        </w:rPr>
        <w:t xml:space="preserve">. Both before and after giving effect to the Transactions, the following statements shall be true and correct as of the Closing Date: (1) there has been no change to the matters previously certified pursuant to </w:t>
      </w: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(or otherwise providing updates to such certifications); (2) the Specified Representations and the Acquisition Agreement Representations shall be true and correct in all material respects (unless stated to relate solely to an earlier date, in which case such representations and warranties shall be true and correct as of such earlier date and except that any representation and warranty that is qualified as to “materiality” or “Material Adverse Effect” shall be true and correct in all respects as so qualified); and (3) no Event of Default under Section 8.1(a) or Section 8.1(g) (with respect to the Borrower only) shall have then occurred and be continuing.</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Borrowings</w:t>
      </w:r>
      <w:r>
        <w:rPr>
          <w:rFonts w:ascii="Times New Roman" w:cs="Times New Roman" w:eastAsia="Times New Roman" w:hAnsi="Times New Roman"/>
          <w:sz w:val="18"/>
          <w:szCs w:val="18"/>
          <w:color w:val="auto"/>
        </w:rPr>
        <w:t>. The Administrative Agent shall have received a Borrowing Request for such Borrowing to be made on the Closing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70" w:name="page71"/>
    <w:bookmarkEnd w:id="70"/>
    <w:p>
      <w:pPr>
        <w:ind w:firstLine="436"/>
        <w:spacing w:after="0" w:line="253" w:lineRule="auto"/>
        <w:tabs>
          <w:tab w:leader="none" w:pos="6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Agreement</w:t>
      </w:r>
      <w:r>
        <w:rPr>
          <w:rFonts w:ascii="Times New Roman" w:cs="Times New Roman" w:eastAsia="Times New Roman" w:hAnsi="Times New Roman"/>
          <w:sz w:val="18"/>
          <w:szCs w:val="18"/>
          <w:color w:val="auto"/>
        </w:rPr>
        <w:t xml:space="preserve">. Prior to or substantially concurrently with the funding of the Loans on the Closing Date, the Acquisition shall have been consummated, without giving effect to any amendments, modifications, supplements or waivers by the Borrower or Acquisition Sub (or any of their respective affiliates) thereto or consents by the Borrower or Acquisition Sub (or any of their respective affiliates) thereunder, in each case, that are materially adverse to the interests of the Lenders or the Arrangers, in their capacities as such without each Arranger’s prior written consent (not to be unreasonably withheld, conditioned or delayed) (it being understood and agreed that, without prejudice to any of the other conditions set forth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 any change in the definition of “Company Material Adverse Effect” in the Acquisition Agreement shall be deemed to be materially adverse to the Lenders and the Arrangers, in their capacities as such, unless the Arrangers shall have provided their written consent thereto (such consent not to be unreasonably withheld, conditioned or delayed) and (b) any modification, amendment or express waiver or consents by the Borrower or Acquisition Sub (or any of their respective affiliates) that results in (i) an increase to the purchase price of not more than 10% or that is funded with common equity of the Borrower shall be deemed not to be materially adverse to the interests of the Lenders or the Arrangers, in their capacities as such, so long as such increase is not funded with proceeds of indebtedness or (ii) a decrease to the exchange ratio of not more than 10% shall be deemed not to be materially adverse to the Arrangers and the Lender.</w:t>
      </w:r>
    </w:p>
    <w:p>
      <w:pPr>
        <w:spacing w:after="0" w:line="189" w:lineRule="exact"/>
        <w:rPr>
          <w:rFonts w:ascii="Times New Roman" w:cs="Times New Roman" w:eastAsia="Times New Roman" w:hAnsi="Times New Roman"/>
          <w:sz w:val="18"/>
          <w:szCs w:val="18"/>
          <w:color w:val="auto"/>
        </w:rPr>
      </w:pPr>
    </w:p>
    <w:p>
      <w:pPr>
        <w:ind w:right="620" w:firstLine="436"/>
        <w:spacing w:after="0" w:line="282" w:lineRule="auto"/>
        <w:tabs>
          <w:tab w:leader="none" w:pos="6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the Acquisition Agreement, there shall not have occurred a Company Material Adverse Effect (as defined in the Acquisition Agreement).</w:t>
      </w:r>
    </w:p>
    <w:p>
      <w:pPr>
        <w:spacing w:after="0" w:line="161" w:lineRule="exact"/>
        <w:rPr>
          <w:rFonts w:ascii="Times New Roman" w:cs="Times New Roman" w:eastAsia="Times New Roman" w:hAnsi="Times New Roman"/>
          <w:sz w:val="18"/>
          <w:szCs w:val="18"/>
          <w:color w:val="auto"/>
        </w:rPr>
      </w:pPr>
    </w:p>
    <w:p>
      <w:pPr>
        <w:ind w:right="240" w:firstLine="436"/>
        <w:spacing w:after="0" w:line="282"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Administrative Agent shall have received for its own account, or for the account of each Lender and other Agent, as the case may be, all fees, costs and expenses (to the extent invoiced at least two Business Day prior to the Effective Date) due and payable pursuant hereto.</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Administrative Agent shall have received (a) audited consolidated annual balance sheets and related consolidated statements of operations and comprehensive income, stockholders equity and cash flows of the Borrower and its subsidiaries prepared in accordance with U.S. GAAP for the three most recently completed fiscal years ended at least 60 days prior to the Closing Date, (b) U.S. GAAP unaudited interim consolidated balance sheets and related consolidated statements of operations and comprehensive income and cash flows of the Borrower and its subsidiaries for any subsequent interim financial period (other than, in each case, the fourth quarter of any fiscal year) ended at least 40 days prior to the Closing Date, and for the comparable period of the prior fiscal year, (c) U.S. GAAP audited consolidated annual balance sheets and related consolidated statements of income, cash flows and shareholders’ equity of the Target for the most recently completed fiscal year ended at least 90 days before the Closing Date, and (d) U.S. GAAP unaudited interim consolidated balance sheets and related consolidated statements of income, comprehensive income, cash flows and shareholder’s equity of the Target for any subsequent interim fiscal quarter (other than, in each case, the fourth quarter of any fiscal year) ended at least 45 days prior to the Closing Date, and for the comparable period of the prior fiscal year. The public filing with the Securities and Exchange Commission under the Securities Exchange Act of 1934, as amended or on the System for Electronic Document Analysis and Retrieval of any of the foregoing financial statements, will satisfy the requirements under clauses (a), (b), (c), (d) or (e), as applicable, of the first sentence of this paragraph. The Administrative Agent hereby acknowledge receipt of the financial statements for the Borrower and the Acquired Business for the fiscal years ended December 31, 2022, December 31, 2021 and December 31, 2020.</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71" w:name="page72"/>
    <w:bookmarkEnd w:id="71"/>
    <w:p>
      <w:pPr>
        <w:ind w:left="-20" w:right="160" w:firstLine="436"/>
        <w:spacing w:after="0" w:line="254" w:lineRule="auto"/>
        <w:tabs>
          <w:tab w:leader="none" w:pos="6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KYC and Beneficial Ownership Certification</w:t>
      </w:r>
      <w:r>
        <w:rPr>
          <w:rFonts w:ascii="Times New Roman" w:cs="Times New Roman" w:eastAsia="Times New Roman" w:hAnsi="Times New Roman"/>
          <w:sz w:val="18"/>
          <w:szCs w:val="18"/>
          <w:color w:val="auto"/>
        </w:rPr>
        <w:t>. Each Lender shall have received, at least three Business Days prior to the Closing Date all documentation and information as is reasonably requested in writing by the Administrative Agent, at least 10 Business Days prior to the Closing Date, about the Borrower required by U.S. regulatory authorities under applicable “know your customer” and anti-money laundering rules and regulations, including, without limitation the PATRIOT Act. If the Borrower qualifies as a “legal entity” customer under 31 C.F.R. § 1010.230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Regulation</w:t>
      </w:r>
      <w:r>
        <w:rPr>
          <w:rFonts w:ascii="Times New Roman" w:cs="Times New Roman" w:eastAsia="Times New Roman" w:hAnsi="Times New Roman"/>
          <w:sz w:val="18"/>
          <w:szCs w:val="18"/>
          <w:color w:val="auto"/>
        </w:rPr>
        <w:t>”), the Borrower shall have delivered to each requesting Lender at least three Business Days prior to the Closing Date (to the extent requested by such Lender at least ten Business Days prior to the Closing Date) a Beneficial Ownership Certification in relation to the Borrower. “Beneficial Ownership Certification” means a certification regarding individual beneficial ownership solely to the extent expressly required by the Beneficial Ownership Regulation.</w:t>
      </w:r>
    </w:p>
    <w:p>
      <w:pPr>
        <w:spacing w:after="0" w:line="191" w:lineRule="exact"/>
        <w:rPr>
          <w:rFonts w:ascii="Times New Roman" w:cs="Times New Roman" w:eastAsia="Times New Roman" w:hAnsi="Times New Roman"/>
          <w:sz w:val="18"/>
          <w:szCs w:val="18"/>
          <w:color w:val="auto"/>
        </w:rPr>
      </w:pPr>
    </w:p>
    <w:p>
      <w:pPr>
        <w:ind w:left="-20" w:firstLine="436"/>
        <w:spacing w:after="0" w:line="254" w:lineRule="auto"/>
        <w:tabs>
          <w:tab w:leader="none" w:pos="6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The Initial Acquired Business Debt Refinancing shall have been consummated prior to, or shall be consummated substantially simultaneously with the borrowing of the Loans on the Closing Date, and the Administrative Agent shall have received customary payoff letters or other evidence reasonably satisfactory to it confirming that all Debt with respect thereto shall have been fully repaid or will be repaid, and all commitments thereunder shall have been terminated and cancelled and all liens and guaranties in connection therewith shall have been terminated and released, in each case prior to or substantially concurrently with the borrowing of the Loans on the Closing Date. On the Closing Date, after giving effect to the Transactions, neither the Target nor any of its subsidiaries shall have any material outstanding indebtedness for borrowed money (other than indebtedness subject to the Other Acquired Business Debt Refinancing and any indebtedness permitted hereunder and permitted to remain outstanding under the Acquisition Agreement).</w:t>
      </w:r>
    </w:p>
    <w:p>
      <w:pPr>
        <w:spacing w:after="0" w:line="19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Administrative Agent shall have received a certificate, signed by an Authorized Officer of APA, stating that immediately after the consummation of the Transactions to occur on such date, as of the Closing Date, (i) the fair value of the assets of the Borrower and its Subsidiaries on a consolidated basis exceeds the debts and liabilities, direct, subordinated, contingent or otherwise, of the Borrower and its Subsidiaries on a consolidated basis; (ii) the present fair saleable value of the property of the Borrower and its Subsidiaries on a consolidated basis is greater than the amount that will be required to pay the probable liability of the Borrower and its Subsidiaries on a consolidated basis on their debts and other liabilities, direct, subordinated, contingent or otherwise, as such debts and other liabilities become absolute and matured; (iii) the Borrower and its Subsidiaries on a consolidated basis are able to pay their debts and liabilities, direct, subordinated, contingent or otherwise, as such debts and liabilities become absolute and matured; and (iv) the Borrower and its Subsidiaries on a consolidated basis do not have unreasonably small capital with which to conduct the businesses in which they are engaged as such businesses are now conducted and are proposed to be conducted following the Closing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60" w:top="270" w:right="47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0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Until the Commitments have expired or been terminated and all Obligations shall have been paid in full and unless the Required Lenders shall otherwise consent in writing, APA covenants and agrees with the Lenders that:</w:t>
      </w:r>
    </w:p>
    <w:p>
      <w:pPr>
        <w:spacing w:after="0" w:line="54"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Financial Reporting and Notices</w:t>
      </w:r>
      <w:r>
        <w:rPr>
          <w:rFonts w:ascii="Times New Roman" w:cs="Times New Roman" w:eastAsia="Times New Roman" w:hAnsi="Times New Roman"/>
          <w:sz w:val="18"/>
          <w:szCs w:val="18"/>
          <w:color w:val="auto"/>
        </w:rPr>
        <w:t>. APA will furnish, or will cause to be furnished, to each Lender and the Administrative Agent copies of the following financial statements, reports, notices and information:</w:t>
      </w:r>
    </w:p>
    <w:p>
      <w:pPr>
        <w:spacing w:after="0" w:line="67" w:lineRule="exact"/>
        <w:rPr>
          <w:sz w:val="20"/>
          <w:szCs w:val="20"/>
          <w:color w:val="auto"/>
        </w:rPr>
      </w:pPr>
    </w:p>
    <w:p>
      <w:pPr>
        <w:ind w:left="960" w:right="140" w:hanging="532"/>
        <w:spacing w:after="0" w:line="256"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of APA, a copy of the audited annual report for such fiscal year (i) for APA and its Subsidiaries, including therein consolidated balance sheets of APA and its Subsidiaries as of the end of such fiscal year and consolidated statements of earnings and cash flow of APA and its Subsidiaries for such fiscal year, and (ii) while Apache is a Reporting Company, for Apache and its Subsidiaries, including therein consolidated balance sheets of Apache and its Subsidiaries as of the end of such fiscal year and consolidated statements of earnings and cash flow of Apache and its Subsidiaries for such fiscal year, in each case certified (without qualification) by independent public accountants of nationally recognized standing selected by APA;</w:t>
      </w:r>
    </w:p>
    <w:p>
      <w:pPr>
        <w:spacing w:after="0" w:line="92" w:lineRule="exact"/>
        <w:rPr>
          <w:rFonts w:ascii="Times New Roman" w:cs="Times New Roman" w:eastAsia="Times New Roman" w:hAnsi="Times New Roman"/>
          <w:sz w:val="18"/>
          <w:szCs w:val="18"/>
          <w:color w:val="auto"/>
        </w:rPr>
      </w:pPr>
    </w:p>
    <w:p>
      <w:pPr>
        <w:ind w:left="960" w:right="40" w:hanging="532"/>
        <w:spacing w:after="0" w:line="273" w:lineRule="auto"/>
        <w:tabs>
          <w:tab w:leader="none" w:pos="9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45 days after the end of each of the first three fiscal quarters of each fiscal year of APA commencing with the fiscal quarter ending March 31, 2024, (i) unaudited consolidated balance sheets of APA and its Subsidiaries as of the end of such fiscal quarter and consolidated statements of earnings and cash flow of APA and its Subsidiaries for such fiscal quarter and for the period commencing at the end of the previous fiscal year and ending with the end of such fiscal quarter, certified by an Authorized Officer of APA and (ii) while Apache is a Reporting Company, unaudited consolidated balance sheets of Apache and its Subsidiaries as of the end of such fiscal quarter and consolidated statements of earnings and cash flow of Apache and its Subsidiaries for such fiscal quarter and for the period commencing at the end of the previous fiscal year and ending with the end of such fiscal quarter, certified by an Authorized Officer of Apache;</w:t>
      </w:r>
    </w:p>
    <w:p>
      <w:pPr>
        <w:spacing w:after="0" w:line="76" w:lineRule="exact"/>
        <w:rPr>
          <w:rFonts w:ascii="Times New Roman" w:cs="Times New Roman" w:eastAsia="Times New Roman" w:hAnsi="Times New Roman"/>
          <w:sz w:val="17"/>
          <w:szCs w:val="17"/>
          <w:color w:val="auto"/>
        </w:rPr>
      </w:pPr>
    </w:p>
    <w:p>
      <w:pPr>
        <w:ind w:left="960" w:right="4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together with the financial statements described in (a) and (b), above a compliance certificate,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any other form approved by the Administrative Agent, executed by an Authorized Officer of APA;</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after the occurrence of each Default, a statement of an Authorized Officer of APA setting forth details of such Default and the action which APA has taken and proposes to take with respect thereto;</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sending or filing thereof, copies of all material public filings, reports and communications from APA, and all reports and registration statements which APA or any of its Subsidiaries files with the SEC or any national securities exchange;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73" w:name="page74"/>
    <w:bookmarkEnd w:id="73"/>
    <w:p>
      <w:pPr>
        <w:ind w:left="964" w:right="220" w:hanging="532"/>
        <w:spacing w:after="0" w:line="255" w:lineRule="auto"/>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upon becoming aware of the institution of any steps by Borrower or any other Person to terminate any Pension Plan, or the failure to make a required contribution to any Pension Plan if such failure is sufficient to give rise to a Lien under Section 302(f) of ERISA, or the taking of any action with respect to a Pension Plan which would reasonably be expected to result in the requirement that Borrower furnish a bond or other security to the PBGC or such Pension Plan, or the occurrence of any event with respect to any Pension Plan which would reasonably be expected to result in the incurrence by Borrower of any liability, fine or penalty in excess of $150,000,000, or any material increase in the contingent liability of Borrower with respect to any postretirement Welfare Plan benefit, notice thereof;</w:t>
      </w:r>
    </w:p>
    <w:p>
      <w:pPr>
        <w:spacing w:after="0" w:line="94"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30" w:lineRule="exact"/>
        <w:rPr>
          <w:rFonts w:ascii="Times New Roman" w:cs="Times New Roman" w:eastAsia="Times New Roman" w:hAnsi="Times New Roman"/>
          <w:sz w:val="18"/>
          <w:szCs w:val="18"/>
          <w:color w:val="auto"/>
        </w:rPr>
      </w:pPr>
    </w:p>
    <w:p>
      <w:pPr>
        <w:ind w:left="964" w:right="620" w:hanging="532"/>
        <w:spacing w:after="0" w:line="282" w:lineRule="auto"/>
        <w:tabs>
          <w:tab w:leader="none" w:pos="9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respecting the financial condition or operations of APA or any of its Subsidiaries as any Lender through the Administrative Agent may from time to time reasonably request.</w:t>
      </w:r>
    </w:p>
    <w:p>
      <w:pPr>
        <w:spacing w:after="0" w:line="162" w:lineRule="exact"/>
        <w:rPr>
          <w:sz w:val="20"/>
          <w:szCs w:val="20"/>
          <w:color w:val="auto"/>
        </w:rPr>
      </w:pPr>
    </w:p>
    <w:p>
      <w:pPr>
        <w:ind w:left="4" w:right="80"/>
        <w:spacing w:after="0" w:line="276" w:lineRule="auto"/>
        <w:rPr>
          <w:sz w:val="20"/>
          <w:szCs w:val="20"/>
          <w:color w:val="auto"/>
        </w:rPr>
      </w:pPr>
      <w:r>
        <w:rPr>
          <w:rFonts w:ascii="Times New Roman" w:cs="Times New Roman" w:eastAsia="Times New Roman" w:hAnsi="Times New Roman"/>
          <w:sz w:val="17"/>
          <w:szCs w:val="17"/>
          <w:color w:val="auto"/>
        </w:rPr>
        <w:t xml:space="preserve">Documents required to be delivered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may be delivered electronically and, if so delivered, shall be deemed to have been delivered on the date (i) on which APA posts such documents, or provides a link thereto, on its website (located on the date hereof at www.apachecorp.com) or</w:t>
      </w:r>
    </w:p>
    <w:p>
      <w:pPr>
        <w:spacing w:after="0" w:line="1" w:lineRule="exact"/>
        <w:rPr>
          <w:sz w:val="20"/>
          <w:szCs w:val="20"/>
          <w:color w:val="auto"/>
        </w:rPr>
      </w:pPr>
    </w:p>
    <w:p>
      <w:pPr>
        <w:ind w:left="4" w:hanging="4"/>
        <w:spacing w:after="0" w:line="251"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such documents are posted on APA or Apache’s behalf, as applicable, on the website of the SEC or on IntraLinks or another relevant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written request by the Administrative Agent, in its reasonable discretion, to the Borrower, the Borrower shall deliver paper copies of such documents to the Administrative Agent, or such Lender until a written request to cease delivering paper copies is given by the Administrative Agent, or such Lender and (B) the Borrower shall notify the Administrative Agent and each Lender (by telecopier or electronic mail) of the posting of any such documents and provide to the Administrative Agent by electronic mail electronic versions (i.e., soft copies) of such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requested by the Administrative Agent, the Compliance Certificate to be delivered under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shall also be delivered in a tangible, physical version or in .pdf format.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timely accessing posted documents or requesting delivery of paper copies of such document to it and maintaining its copies of such documents.</w:t>
      </w:r>
    </w:p>
    <w:p>
      <w:pPr>
        <w:spacing w:after="0" w:line="192"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Borrower will, and APA will cause each of its Subsidiaries to, comply in all material respects with all applicable laws, rules, regulations and orders where noncompliance therewith may reasonably be expected to have a Material Adverse Effect, except where the necessity of compliance therewith is contested in good faith by appropriate proceedings.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74" w:name="page75"/>
    <w:bookmarkEnd w:id="74"/>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5.3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Borrower will, and APA will cause each of its Subsidiaries to, maintain, preserve, protect and keep valid title to, or valid leasehold interest in, all of its properties and assets, real and personal, tangible and intangible, of any nature whatsoever (including patents, trademarks, trade names, service marks and copyrights), free and clear of all Liens, charges or claims (including infringement claims with respect to patents, trademarks, copyrights and the like) except as permitted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except for imperfections and other burdens of title thereto as do not in the aggregate materially detract from the value thereof or for the use thereof in their businesses (taken as a whole).</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Borrower will, and APA will cause each of its Subsidiaries to, maintain or cause to be maintained with responsible insurance companies (subject to self-insured retentions) insurance with respect to its properties and business against such casualties and contingencies and of such types and in such amounts as is customary in the case of similar businesses.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Borrower will, and APA will cause each of its Subsidiaries to, keep books and records which accurately reflect all of its business affairs and transactions and permit the Administrative Agent and the other Agents and each Lender through the Administrative Agent or any of their respective authorized representatives, during normal business hours and at reasonable intervals, to visit all of its offices, to discuss its financial matters with its officers and to examine (and, at the expense of the Administrative Agent or such other Agent or Lender or, if a Default or Event of Default has occurred and is continuing, at the expense of Borrower, photocopy extracts from) any of its books or other records.</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Purposes</w:t>
      </w:r>
      <w:r>
        <w:rPr>
          <w:rFonts w:ascii="Times New Roman" w:cs="Times New Roman" w:eastAsia="Times New Roman" w:hAnsi="Times New Roman"/>
          <w:sz w:val="18"/>
          <w:szCs w:val="18"/>
          <w:color w:val="auto"/>
        </w:rPr>
        <w:t>. The proceeds of the Loans will be used by Borrower only to (i) to consummate the Acquired Business Debt Refinancing and (ii) to pay fees and expenses related to the Transactions. Borrower will not, directly, or to Borrower’s knowledge, indirectly, use the proceeds of any Loan, or lend, contribute or otherwise make available such proceeds to any subsidiary, joint venture partner or other Person, (i) to fund any activities or business of or with any Sanctioned Person, or in any Sanctioned Country, to the extent such activities, businesses or transaction would be prohibited by Sanctions if conducted by a corporation incorporated in the United States, His Majesty’s Treasury of the United Kingdom or in a European Union member state or (ii) in any other manner that would result in a violation of Sanctions or applicable Anti-Corruption Laws by any Person (including any Person participating in the Loans whether as underwriter, advisor, investor, or otherwise).</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Target Guaranty</w:t>
      </w:r>
      <w:r>
        <w:rPr>
          <w:rFonts w:ascii="Times New Roman" w:cs="Times New Roman" w:eastAsia="Times New Roman" w:hAnsi="Times New Roman"/>
          <w:sz w:val="18"/>
          <w:szCs w:val="18"/>
          <w:color w:val="auto"/>
        </w:rPr>
        <w:t>. To the extent that on the date that is 120 days after the Closing Date the aggregate principal amount of Debt outstanding under (i) the Target’s 7.50% Senior Notes due 2030 and (ii) the Target’s 8.00% Senior Notes due 2028, is or exceeds $400,000,000, the Borrower shall on such date (or if such date is not a Business Day, on the next succeeding Business Day) cause the Target to enter into the Target Guaranty and to become a “Guarantor” under the Loan Documents (subject to the termination of the Target Guaranty in accordance with its terms), and shall cause the Target to deliver authorization and officer certificates substantially the same as those delivered by Apache under Section 4.1(b).</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Financial Covenant</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Until the Commitments have expired or been terminated and all Obligations shall have been paid in full and unless the Required Lenders shall otherwise consent in writing, APA covenants and agrees with the Lenders that:</w:t>
      </w:r>
    </w:p>
    <w:p>
      <w:pPr>
        <w:spacing w:after="0" w:line="54"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Ratio of Total Debt to Capital</w:t>
      </w:r>
      <w:r>
        <w:rPr>
          <w:rFonts w:ascii="Times New Roman" w:cs="Times New Roman" w:eastAsia="Times New Roman" w:hAnsi="Times New Roman"/>
          <w:sz w:val="18"/>
          <w:szCs w:val="18"/>
          <w:color w:val="auto"/>
        </w:rPr>
        <w:t>. APA will not permit its ratio (expressed as a percentage) of (i) the consolidated Debt of APA and its Subsidiaries to (ii) Capital to be greater than 60% at the end of any fiscal quarter beginning with the fiscal quarter ending June 30,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07"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Until the Commitments have expired or been terminated, all Obligations shall have been paid in full and unless the Required Lenders shall otherwise consent in writing, APA covenants and agrees with the Lenders that: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APA will not, and will not permit any of its Subsidiaries to, create, incur, assume or suffer to exist any Lien upon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of APA or any of its Subsidiaries to secure Indebtedness of Borrower or any other Person except:</w:t>
      </w:r>
    </w:p>
    <w:p>
      <w:pPr>
        <w:spacing w:after="0" w:line="112" w:lineRule="exact"/>
        <w:rPr>
          <w:sz w:val="20"/>
          <w:szCs w:val="20"/>
          <w:color w:val="auto"/>
        </w:rPr>
      </w:pPr>
    </w:p>
    <w:p>
      <w:pPr>
        <w:ind w:left="960" w:hanging="532"/>
        <w:spacing w:after="0" w:line="266"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or assets owned or leased by Borrower or any Subsidiary existing at the time such property or asset was acquired (or at the time such Person became a Subsidiary); provided that in the case of the acquisition of a Subsidiary such Lien only encumbers property or assets immediately prior to, or at the time of, the acquisition by Borrower of such Subsidiary;</w:t>
      </w:r>
    </w:p>
    <w:p>
      <w:pPr>
        <w:spacing w:after="0" w:line="81" w:lineRule="exact"/>
        <w:rPr>
          <w:rFonts w:ascii="Times New Roman" w:cs="Times New Roman" w:eastAsia="Times New Roman" w:hAnsi="Times New Roman"/>
          <w:sz w:val="18"/>
          <w:szCs w:val="18"/>
          <w:color w:val="auto"/>
        </w:rPr>
      </w:pPr>
    </w:p>
    <w:p>
      <w:pPr>
        <w:ind w:left="960" w:right="300" w:hanging="532"/>
        <w:spacing w:after="0" w:line="261"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incurred to finance the acquisition, construction, improvement, or capital lease of assets (including equipment); provided that such Indebtedness when incurred shall not exceed the purchase price and costs, as applicable, of acquisition, construction, or improvement of the asset(s) financed and all fees, costs, and expenses relating thereto, including attorney and legal, accounting, expert, and professional advisor fees and expenses;</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an Unrestricted Subsidiary on its assets to secure Indebtedness incurred by such Unrestricted Subsidiary;</w:t>
      </w:r>
    </w:p>
    <w:p>
      <w:pPr>
        <w:spacing w:after="0" w:line="130"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a Restricted Subsidiary securing Indebtedness of a Restricted Subsidiary owing to Borrower or to another Restricted Subsidiary or Liens on assets of an Unrestricted Subsidiary securing Indebtedness of an Unrestricted Subsidiary owing to Borrower, to a Restricted Subsidiary or to another Unrestricted Subsidiary;</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Effective Date set forth on </w:t>
      </w:r>
      <w:r>
        <w:rPr>
          <w:rFonts w:ascii="Times New Roman" w:cs="Times New Roman" w:eastAsia="Times New Roman" w:hAnsi="Times New Roman"/>
          <w:sz w:val="18"/>
          <w:szCs w:val="18"/>
          <w:u w:val="single" w:color="auto"/>
          <w:color w:val="auto"/>
        </w:rPr>
        <w:t>Schedule 7.1</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operating agreements;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76" w:name="page77"/>
    <w:bookmarkEnd w:id="76"/>
    <w:p>
      <w:pPr>
        <w:ind w:left="960" w:hanging="532"/>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reserved in oil, gas and/or mineral leases for bonus rental payments and for compliance with the terms of such leases;</w:t>
      </w:r>
    </w:p>
    <w:p>
      <w:pPr>
        <w:spacing w:after="0" w:line="130"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partnership agreements, oil, gas and/or mineral leases, farm-out agreements, division orders, contracts for the sale, delivery, purchase, exchange, or processing of oil, gas and/or other hydrocarbons, unitization and pooling declarations and agreements, operating agreements, development agreements, area of mutual interest agreements, forward sales of oil, natural gas and natural gas liquids, and other agreements which are customary in the oil, gas and other mineral exploration, development and production business and in the business of processing of gas and gas condensate production for the extraction of products therefrom;</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stock or other ownership interests of or in any Unrestricted Subsidiary;</w:t>
      </w:r>
    </w:p>
    <w:p>
      <w:pPr>
        <w:spacing w:after="0" w:line="130" w:lineRule="exact"/>
        <w:rPr>
          <w:rFonts w:ascii="Times New Roman" w:cs="Times New Roman" w:eastAsia="Times New Roman" w:hAnsi="Times New Roman"/>
          <w:sz w:val="18"/>
          <w:szCs w:val="18"/>
          <w:color w:val="auto"/>
        </w:rPr>
      </w:pPr>
    </w:p>
    <w:p>
      <w:pPr>
        <w:ind w:left="960" w:right="36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similar charges, incurred in the ordinary course of business, that are not yet due and payable or that are being contested as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made in the ordinary course of business to secure payment of worker’s compensation, or to participate in any fund in connection with worker’s compensation, unemployment insurance, old-age pensions or other social security programs;</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mandatory provisions of law such as for mechanics’, materialmen’s, warehousemen’s, carriers’, or other like Liens, securing obligations incurred in the ordinary course of business that are not yet due and payable;</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renewal or extension of any of the foregoing permitted Liens, so long as limited to the property or assets encumbered and the amount of Indebtedness secured immediately prior to such renewal or extension; and</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Liens permitted by clauses (i) through (xiii) above, Liens on property or assets of APA and its Subsidiaries if the aggregate Indebtedness of all such Persons secured thereby does not exceed fifteen percent (15%) of Consolidated Net Tangible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definition shall in and of itself constitute or be deemed to constitute an agreement or acknowledgment by the Administrative Agent or any Lender that the Indebtedness subject to or secured by any such Lien ranks (apart from the effect of any Lien included in or inherent in any such Liens) in priority to the Obligations.</w:t>
      </w:r>
    </w:p>
    <w:p>
      <w:pPr>
        <w:spacing w:after="0" w:line="183"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APA will not liquidate or dissolve, consolidate with, or merge into or with, any other Person unless (a) APA is the survivor of such merger or consolidation, and (b) no Default or Event of Default has occurred and is continuing or would occur after giving effect thereto.</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Asset Dispositions</w:t>
      </w:r>
      <w:r>
        <w:rPr>
          <w:rFonts w:ascii="Times New Roman" w:cs="Times New Roman" w:eastAsia="Times New Roman" w:hAnsi="Times New Roman"/>
          <w:sz w:val="18"/>
          <w:szCs w:val="18"/>
          <w:color w:val="auto"/>
        </w:rPr>
        <w:t>. APA will not sell, transfer, lease, contribute or otherwise convey, or grant options, warrants or other rights with respect to all or substantially all of their respective assets. Notwithstanding the foregoing, nothing herein shall prohibit any transfer of any assets from Borrower to any Subsidiary of Borrower, from any Subsidiary of Borrower to Borrower or from a Subsidiary of Borrower to another Subsidiary of Borrower.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77" w:name="page78"/>
    <w:bookmarkEnd w:id="7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APA will not, and will not permit any of its Subsidiaries to enter into any material transaction with any of APA’s Affiliates (excluding Apache Offshore Investment Partnership, a Delaware general partnership, and Apache Offshore Petroleum Limited Partnership, a Delaware limited partnership), whether or not in the ordinary course of business, other than on terms no less favorable to APA or its Subsidiary, as applicable, than would be obtainable by APA or its Subsidiary, as applicable, at the time in a comparable arm’s length transaction with a Person other than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 any of the following: (i) transactions between or among APA and any of its Subsidiaries, (ii) transactions between or among any of APA’s Subsidiaries, and (iii) transactions involving the purchase or sale of crude oil, natural gas and other hydrocarbons, in the ordinary course of business, so long as such transactions are priced in line with industry accepted benchmark prices.</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APA will not, and will not permit any of its Subsidiaries to, enter into any agreement (excluding this Agreement, or any other Loan Document) limiting the ability of Borrower to amend or otherwise modify this Agreement or any other Loan Document. APA will not, and will not permit any of its Restricted Subsidiaries to, enter into any agreement which restricts or prohibits the ability of any Restricted Subsidiary to make any payments, directly or indirectly, to Borrower by way of dividends, advances, repayments of loans or advances, reimbursements of management and other intercompany charges, expenses and accruals or other returns on investments, or any other agreement or arrangement which restricts the ability of any such Restricted Subsidiary to make any payment, directly or indirectly, to Borrower.</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Guaranties</w:t>
      </w:r>
      <w:r>
        <w:rPr>
          <w:rFonts w:ascii="Times New Roman" w:cs="Times New Roman" w:eastAsia="Times New Roman" w:hAnsi="Times New Roman"/>
          <w:sz w:val="18"/>
          <w:szCs w:val="18"/>
          <w:color w:val="auto"/>
        </w:rPr>
        <w:t>. APA will not, and will not permit any of its Restricted Subsidiaries to, guaranty any Indebtedness not included in the consolidated Debt of APA and its Subsidiaries in an aggregate outstanding principal amount at any time exceeding $150,000,000.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Listing of Events of Default</w:t>
      </w:r>
      <w:r>
        <w:rPr>
          <w:rFonts w:ascii="Times New Roman" w:cs="Times New Roman" w:eastAsia="Times New Roman" w:hAnsi="Times New Roman"/>
          <w:sz w:val="18"/>
          <w:szCs w:val="18"/>
          <w:color w:val="auto"/>
        </w:rPr>
        <w:t xml:space="preserve">. Each of the following events or occurrences described in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constitute an “</w:t>
      </w:r>
      <w:r>
        <w:rPr>
          <w:rFonts w:ascii="Times New Roman" w:cs="Times New Roman" w:eastAsia="Times New Roman" w:hAnsi="Times New Roman"/>
          <w:sz w:val="18"/>
          <w:szCs w:val="18"/>
          <w:u w:val="single" w:color="auto"/>
          <w:color w:val="auto"/>
        </w:rPr>
        <w:t>Event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60" w:right="120" w:hanging="532"/>
        <w:spacing w:after="0" w:line="266"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 of Obligations</w:t>
      </w:r>
      <w:r>
        <w:rPr>
          <w:rFonts w:ascii="Times New Roman" w:cs="Times New Roman" w:eastAsia="Times New Roman" w:hAnsi="Times New Roman"/>
          <w:sz w:val="18"/>
          <w:szCs w:val="18"/>
          <w:color w:val="auto"/>
        </w:rPr>
        <w:t>. Borrower shall default in the payment or prepayment when due of any principal of any Loan, or Borrower shall default (and such default shall continue unremedied for a period of five (5) Business Days) in the payment when due of any interest, fee or of any other obligation hereunder.</w:t>
      </w:r>
    </w:p>
    <w:p>
      <w:pPr>
        <w:spacing w:after="0" w:line="81"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Warranty</w:t>
      </w:r>
      <w:r>
        <w:rPr>
          <w:rFonts w:ascii="Times New Roman" w:cs="Times New Roman" w:eastAsia="Times New Roman" w:hAnsi="Times New Roman"/>
          <w:sz w:val="18"/>
          <w:szCs w:val="18"/>
          <w:color w:val="auto"/>
        </w:rPr>
        <w:t>. Any representation or warranty of Borrower made or deemed to be made hereunder or in any other Loan Document or any other writing or certificate furnished by or on behalf of Borrower to the Administrative Agent, any other Agent or any Lender for the purposes of or in connection with this Agreement or any such other Loan Document is or shall be false or misleading when made in any material respect.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78" w:name="page79"/>
    <w:bookmarkEnd w:id="78"/>
    <w:p>
      <w:pPr>
        <w:ind w:left="540" w:right="220" w:hanging="532"/>
        <w:spacing w:after="0" w:line="282"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Non-Performance of Covenants and Obligations</w:t>
      </w:r>
      <w:r>
        <w:rPr>
          <w:rFonts w:ascii="Times New Roman" w:cs="Times New Roman" w:eastAsia="Times New Roman" w:hAnsi="Times New Roman"/>
          <w:sz w:val="18"/>
          <w:szCs w:val="18"/>
          <w:color w:val="auto"/>
        </w:rPr>
        <w:t xml:space="preserve">. Borrower shall default in the due performance and observance of any of its obligations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380" w:hanging="532"/>
        <w:spacing w:after="0" w:line="266"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Non-Performance of Other Covenants and Obligations</w:t>
      </w:r>
      <w:r>
        <w:rPr>
          <w:rFonts w:ascii="Times New Roman" w:cs="Times New Roman" w:eastAsia="Times New Roman" w:hAnsi="Times New Roman"/>
          <w:sz w:val="18"/>
          <w:szCs w:val="18"/>
          <w:color w:val="auto"/>
        </w:rPr>
        <w:t>. Borrower or any other Loan Party shall default in the due performance and observance of any other agreement contained herein or in any other Loan Document, and such default shall continue unremedied for a period of 30 days after notice thereof shall have been given to Borrower by the Administrative Agent or the Required Lenders.</w:t>
      </w:r>
    </w:p>
    <w:p>
      <w:pPr>
        <w:spacing w:after="0" w:line="81"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Indebtedness</w:t>
      </w:r>
      <w:r>
        <w:rPr>
          <w:rFonts w:ascii="Times New Roman" w:cs="Times New Roman" w:eastAsia="Times New Roman" w:hAnsi="Times New Roman"/>
          <w:sz w:val="18"/>
          <w:szCs w:val="18"/>
          <w:color w:val="auto"/>
        </w:rPr>
        <w:t>. A (i) default shall occur in the payment of more than $150,000,000 when due (subject to any applicable grace period), whether by acceleration or otherwise, of the principal amount of any Indebtedness of Borrower or any Restricted Subsidiary, or (ii) default by Borrower or any Restricted Subsidiary in the observance or performance of any other agreement or condition pertaining to Indebtedness of Borrower or any Restricted Subsidiary in an aggregate principal amount in excess of $150,000,000 or contained in any instrument or agreement evidencing, securing, or pertaining thereto, and such default shall have resulted in such Indebtedness being declared due and payable prior to its stated maturity and, after expiration of any applicable grace period, the Borrower or Restricted Subsidiary shall not have fully paid the resulting amount thereof.</w:t>
      </w:r>
    </w:p>
    <w:p>
      <w:pPr>
        <w:spacing w:after="0" w:line="94"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Pension Plans</w:t>
      </w:r>
      <w:r>
        <w:rPr>
          <w:rFonts w:ascii="Times New Roman" w:cs="Times New Roman" w:eastAsia="Times New Roman" w:hAnsi="Times New Roman"/>
          <w:sz w:val="18"/>
          <w:szCs w:val="18"/>
          <w:color w:val="auto"/>
        </w:rPr>
        <w:t>. Any of the following events shall occur with respect to any Pension Plan: (a) the termination of a Pension Plan if, as a result of such termination, Borrower or any member of its Controlled Group could be required to make a contribution to such Pension Plan, or would reasonably expect to incur a liability or obligation to such Pension Plan, in excess of $150,000,000; or (b) a contribution failure occurs with respect to any Pension Plan sufficient to give rise to a lien under Section 302(f) of ERISA with respect to a liability or obligation in excess of $150,000,000.</w:t>
      </w:r>
    </w:p>
    <w:p>
      <w:pPr>
        <w:spacing w:after="0" w:line="88"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and Insolvency</w:t>
      </w:r>
      <w:r>
        <w:rPr>
          <w:rFonts w:ascii="Times New Roman" w:cs="Times New Roman" w:eastAsia="Times New Roman" w:hAnsi="Times New Roman"/>
          <w:sz w:val="18"/>
          <w:szCs w:val="18"/>
          <w:color w:val="auto"/>
        </w:rPr>
        <w:t xml:space="preserve">. Borrower or any Restricted Subsidiary shall (a) become insolvent or generally fail to pay, or admit in writing its inability or unwillingness to generally pay, debts as they become due; (b) apply for, consent to, or acquiesce in, the appointment of a trustee, receiver, sequestrator or other custodian for Borrower, or any Restricted Subsidiary, or any substantial part of the property of any thereof, or make a general assignment for the benefit of creditors; (c) in the absence of such application, consent or acquiescence, permit or suffer to exist the appointment of a trustee, receiver, sequestrator or other custodian for Borrower, or any Restricted Subsidiary, or for a substantial part of the property of any thereof, and such trustee, receiver, sequestrator or other custodian shall not be discharged within 60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Borrower and each Restricted Subsidiary hereby expressly authorizes the Administrative Agent, each other Agent and each Lender to appear in any court conducting any relevant proceeding during such 60-</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580"/>
          </w:cols>
          <w:pgMar w:left="860" w:top="270" w:right="459" w:bottom="1440" w:gutter="0" w:footer="0" w:header="0"/>
        </w:sectPr>
      </w:pPr>
    </w:p>
    <w:bookmarkStart w:id="79" w:name="page80"/>
    <w:bookmarkEnd w:id="79"/>
    <w:p>
      <w:pPr>
        <w:ind w:left="56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period to preserve, protect and defend their rights under the Loan Documents; (d) permit or suffer to exist the commencement of any bankruptcy, reorganization, debt arrangement or other case or proceeding under any bankruptcy or insolvency law, or any dissolution, winding up or liquidation proceeding, in respect of Borrower or any Restricted Subsidiary, and, if any such case or proceeding is not commenced by Borrower or such Restricted Subsidiary, such case or proceeding shall be consented to or acquiesced in by Borrower or such Restricted Subsidiary or shall result in the entry of an order for relief or shall remain for 60 days undismissed, provided that Borrower and each Restricted Subsidiary hereby expressly authorizes the Administrative Agent and each Lender to appear in any court conducting any such case or proceeding during such 60-day period to preserve, protect and defend their rights under the Loan Documents; or (e) take any corporate or partnership action authorizing, or in furtherance of, any of the foregoing.</w:t>
      </w:r>
    </w:p>
    <w:p>
      <w:pPr>
        <w:spacing w:after="0" w:line="97" w:lineRule="exact"/>
        <w:rPr>
          <w:sz w:val="20"/>
          <w:szCs w:val="20"/>
          <w:color w:val="auto"/>
        </w:rPr>
      </w:pPr>
    </w:p>
    <w:p>
      <w:pPr>
        <w:ind w:left="540" w:right="400" w:hanging="532"/>
        <w:spacing w:after="0" w:line="258"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Any judgment or order for the payment of money in an amount of $150,000,000 or more in excess of valid and collectible insurance in respect thereof or in excess of an indemnity with respect thereto reasonably acceptable to the Required Lenders shall be rendered against Borrower or any Restricted Subsidiary and either (a) enforcement proceedings shall have been commenced by any creditor upon such judgment or order, or (b) such judgment shall have become final and non-appealable and shall have remained outstanding for a period of 60 consecutive days.</w:t>
      </w:r>
    </w:p>
    <w:p>
      <w:pPr>
        <w:spacing w:after="0" w:line="88" w:lineRule="exact"/>
        <w:rPr>
          <w:rFonts w:ascii="Times New Roman" w:cs="Times New Roman" w:eastAsia="Times New Roman" w:hAnsi="Times New Roman"/>
          <w:sz w:val="18"/>
          <w:szCs w:val="18"/>
          <w:color w:val="auto"/>
        </w:rPr>
      </w:pPr>
    </w:p>
    <w:p>
      <w:pPr>
        <w:jc w:val="both"/>
        <w:ind w:left="540" w:right="120" w:hanging="532"/>
        <w:spacing w:after="0" w:line="266"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Any Person or group of Persons (within the meaning of Section 13 or 14 of the Securities Exchange Act) shall acquire beneficial ownership (within the meaning of Rule 13d-3 promulgated by the SEC under the Securities Exchange Act) of 33 1/3% or more of the outstanding shares of common stock of APA.</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Action prior to Closing Date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40" w:hanging="532"/>
        <w:spacing w:after="0" w:line="258"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described in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 xml:space="preserve"> shall occur prior to the Closing Date and be continuing, the Administrative Agent, at the request of the Required Lenders, shall, by notice to APA, declare all Commitments to be terminated and all fees and other obligations of the Borrower accrued hereunder to be due and payable, and thereupon all Commitments shall terminate and all fees and other obligations of the Borrower accrued hereunder shall become due and payable immediately, without presentment, demand, protest or other notice of any kind, all of which are hereby waived by the Borrower; and</w:t>
      </w:r>
    </w:p>
    <w:p>
      <w:pPr>
        <w:spacing w:after="0" w:line="88" w:lineRule="exact"/>
        <w:rPr>
          <w:rFonts w:ascii="Times New Roman" w:cs="Times New Roman" w:eastAsia="Times New Roman" w:hAnsi="Times New Roman"/>
          <w:sz w:val="18"/>
          <w:szCs w:val="18"/>
          <w:color w:val="auto"/>
        </w:rPr>
      </w:pPr>
    </w:p>
    <w:p>
      <w:pPr>
        <w:ind w:left="540" w:right="280" w:hanging="532"/>
        <w:spacing w:after="0" w:line="258"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described in </w:t>
      </w:r>
      <w:r>
        <w:rPr>
          <w:rFonts w:ascii="Times New Roman" w:cs="Times New Roman" w:eastAsia="Times New Roman" w:hAnsi="Times New Roman"/>
          <w:sz w:val="18"/>
          <w:szCs w:val="18"/>
          <w:u w:val="single" w:color="auto"/>
          <w:color w:val="auto"/>
        </w:rPr>
        <w:t>Section 8.1(g)</w:t>
      </w:r>
      <w:r>
        <w:rPr>
          <w:rFonts w:ascii="Times New Roman" w:cs="Times New Roman" w:eastAsia="Times New Roman" w:hAnsi="Times New Roman"/>
          <w:sz w:val="18"/>
          <w:szCs w:val="18"/>
          <w:color w:val="auto"/>
        </w:rPr>
        <w:t xml:space="preserve"> (with respect to the Borrower only) shall occur prior to the Closing Date, the Commitments shall automatically terminate, and all fees and other obligations of the Borrower accrued hereunder shall automatically become due and payable, without presentment, demand, protest or other notice of any kind, all of which are hereby waived by the Borrower. Without limiting the foregoing, the Administrative Agent, the Lenders shall be entitled to exercise any and all other remedies available to them under the Loan Documents and applicable law.</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600"/>
          </w:cols>
          <w:pgMar w:left="860" w:top="270" w:right="43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Action after Closing Date</w:t>
      </w:r>
      <w:r>
        <w:rPr>
          <w:rFonts w:ascii="Times New Roman" w:cs="Times New Roman" w:eastAsia="Times New Roman" w:hAnsi="Times New Roman"/>
          <w:sz w:val="18"/>
          <w:szCs w:val="18"/>
          <w:color w:val="auto"/>
        </w:rPr>
        <w:t xml:space="preserve"> (a) .</w:t>
      </w:r>
    </w:p>
    <w:p>
      <w:pPr>
        <w:spacing w:after="0" w:line="131" w:lineRule="exact"/>
        <w:rPr>
          <w:sz w:val="20"/>
          <w:szCs w:val="20"/>
          <w:color w:val="auto"/>
        </w:rPr>
      </w:pPr>
    </w:p>
    <w:p>
      <w:pPr>
        <w:ind w:left="960" w:hanging="532"/>
        <w:spacing w:after="0" w:line="266"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of Default under Section 8.1(g) shall occur after the Closing Date for any reason,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81" w:lineRule="exact"/>
        <w:rPr>
          <w:rFonts w:ascii="Times New Roman" w:cs="Times New Roman" w:eastAsia="Times New Roman" w:hAnsi="Times New Roman"/>
          <w:sz w:val="18"/>
          <w:szCs w:val="18"/>
          <w:color w:val="auto"/>
        </w:rPr>
      </w:pPr>
    </w:p>
    <w:p>
      <w:pPr>
        <w:ind w:left="960" w:right="80" w:hanging="532"/>
        <w:spacing w:after="0" w:line="254" w:lineRule="auto"/>
        <w:tabs>
          <w:tab w:leader="none" w:pos="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other Event of Default shall occur after the Closing Date for any reason, whether voluntary or involuntary, and be continuing, the Administrative Agent at the request of the Required Lenders shall, by notice to APA,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Without limiting the foregoing, the Administrative Agent and the Lenders shall be entitled to exercise any and all other remedies available to them under the Loan Documents and applicable law.</w:t>
      </w:r>
    </w:p>
    <w:p>
      <w:pPr>
        <w:spacing w:after="0" w:line="19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Notwithstanding anything herein to the contrary, following the acceleration of the Obligations after the occurrence and during the continuance of an Event of Default, and notice thereof to the Administrative Agent by the Borrower or the Required Lenders, all payments received on account of the Obligations shall, subject to Section 2.20, be applied by the Administrative Agent as follows:</w:t>
      </w:r>
    </w:p>
    <w:p>
      <w:pPr>
        <w:spacing w:after="0" w:line="68" w:lineRule="exact"/>
        <w:rPr>
          <w:sz w:val="20"/>
          <w:szCs w:val="20"/>
          <w:color w:val="auto"/>
        </w:rPr>
      </w:pPr>
    </w:p>
    <w:p>
      <w:pPr>
        <w:ind w:left="440" w:right="40" w:firstLine="419"/>
        <w:spacing w:after="0" w:line="266" w:lineRule="auto"/>
        <w:tabs>
          <w:tab w:leader="none" w:pos="10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payable to the Administrative Agent (including fees and disbursements and other charges of counsel to the Administrative Agent payable under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amounts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payable to the Administrative Agent in its capacity as such);</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of that portion of the Obligations constituting fees, expenses, indemnities and other amounts (other than principal and interest) payable to the Lenders arising under the Loan Documents, ratably among them in proportion to the respective amounts described in this clause (ii) payable to them;</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the payment of that portion of the Obligations constituting accrued and unpaid interest on the Loans, ratably among the Lenders in proportion to the respective amounts described in this clause (iii) payable to them;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81" w:name="page82"/>
    <w:bookmarkEnd w:id="81"/>
    <w:p>
      <w:pPr>
        <w:ind w:left="440" w:right="580" w:firstLine="419"/>
        <w:spacing w:after="0" w:line="282" w:lineRule="auto"/>
        <w:tabs>
          <w:tab w:leader="none" w:pos="11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w:t>
      </w:r>
      <w:r>
        <w:rPr>
          <w:rFonts w:ascii="Times New Roman" w:cs="Times New Roman" w:eastAsia="Times New Roman" w:hAnsi="Times New Roman"/>
          <w:sz w:val="18"/>
          <w:szCs w:val="18"/>
          <w:color w:val="auto"/>
        </w:rPr>
        <w:t>, (A) to payment of that portion of the Obligations constituting unpaid principal of the Loans ratably among the Lenders in proportion to the respective amounts described in this clause (iv) payable to them;</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payment in full of all other Obligations, in each case ratably among the Administrative Agent and the Lenders based upon the respective aggregate amounts of all such Obligations owing to them in accordance with the respective amounts thereof then due and payable; and</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the balance, if any, after all Obligations have been indefeasibly paid in full, to the Borrower or as otherwise required by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Authorization and Action.</w:t>
      </w:r>
    </w:p>
    <w:p>
      <w:pPr>
        <w:spacing w:after="0" w:line="225" w:lineRule="exact"/>
        <w:rPr>
          <w:sz w:val="20"/>
          <w:szCs w:val="20"/>
          <w:color w:val="auto"/>
        </w:rPr>
      </w:pPr>
    </w:p>
    <w:p>
      <w:pPr>
        <w:ind w:right="40" w:firstLine="436"/>
        <w:spacing w:after="0" w:line="256" w:lineRule="auto"/>
        <w:tabs>
          <w:tab w:leader="none" w:pos="6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hereby irrevocably appoints the entity named as Administrative Agent in the heading of this Agreement and its successors and assigns to serve as the administrative agent under the Loan Documents and authorizes the Administrative Agent to take such actions on its behalf and to exercise such powers as are delegated to the Administrative Agent by the terms hereof, together with such actions and powers as are reasonably incidental thereto. Without limiting the foregoing, each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82" w:name="page83"/>
    <w:bookmarkEnd w:id="82"/>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0" w:lineRule="exact"/>
        <w:rPr>
          <w:sz w:val="20"/>
          <w:szCs w:val="20"/>
          <w:color w:val="auto"/>
        </w:rPr>
      </w:pPr>
    </w:p>
    <w:p>
      <w:pPr>
        <w:ind w:right="160" w:firstLine="436"/>
        <w:spacing w:after="0" w:line="266"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functions and duties hereunder and under the other Loan Documents, the Administrative Agent is acting solely on behalf of the Lenders (except in limited circumstances expressly provided for herein relating to the maintenance of the Register), and its duties are entirely mechanical and administrative in nature. Without limiting the generality of the foregoing:</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assume and shall not be deemed to have assumed any obligation or duty or any other relationship as the agent, fiduciary or trustee of or for any Lender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8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7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83" w:name="page84"/>
    <w:bookmarkEnd w:id="83"/>
    <w:p>
      <w:pPr>
        <w:ind w:right="60" w:firstLine="436"/>
        <w:spacing w:after="0" w:line="261"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Persons identified on the facing page of this Agreement as the “Co-Lead Arrangers and Joint Bookrunners” (the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the Co-Syndication Agents, any Co-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79" w:lineRule="exact"/>
        <w:rPr>
          <w:rFonts w:ascii="Times New Roman" w:cs="Times New Roman" w:eastAsia="Times New Roman" w:hAnsi="Times New Roman"/>
          <w:sz w:val="18"/>
          <w:szCs w:val="18"/>
          <w:color w:val="auto"/>
        </w:rPr>
      </w:pPr>
    </w:p>
    <w:p>
      <w:pPr>
        <w:jc w:val="both"/>
        <w:ind w:firstLine="436"/>
        <w:spacing w:after="0" w:line="261" w:lineRule="auto"/>
        <w:tabs>
          <w:tab w:leader="none" w:pos="66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pendency of any proceeding with respect to Borrower under any Federal, state or foreign bankruptcy, insolvency, receivership or similar law now or hereafter in effect, the Administrative Agent (irrespective of whether the principal of any Loan or other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71" w:lineRule="exact"/>
        <w:rPr>
          <w:rFonts w:ascii="Times New Roman" w:cs="Times New Roman" w:eastAsia="Times New Roman" w:hAnsi="Times New Roman"/>
          <w:sz w:val="18"/>
          <w:szCs w:val="18"/>
          <w:color w:val="auto"/>
        </w:rPr>
      </w:pPr>
    </w:p>
    <w:p>
      <w:pPr>
        <w:jc w:val="both"/>
        <w:ind w:left="440" w:right="220" w:firstLine="419"/>
        <w:spacing w:after="0" w:line="261" w:lineRule="auto"/>
        <w:tabs>
          <w:tab w:leader="none" w:pos="107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allowed in such judicial proceeding; and</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2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 as required by this Agreement;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proceeding is hereby authorized by each Lender to make such payments to the Administrative Agent and, in the event that the Administrative Agent shall consent to the making of such payments directly to the Lenders to pay to the Administrative Agent any amount due to it, in its capacity as the Administrative Agent, under the Loan Documents (including under Section 10.3). 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7" w:lineRule="exact"/>
        <w:rPr>
          <w:sz w:val="20"/>
          <w:szCs w:val="20"/>
          <w:color w:val="auto"/>
        </w:rPr>
      </w:pPr>
    </w:p>
    <w:p>
      <w:pPr>
        <w:ind w:right="280" w:firstLine="436"/>
        <w:spacing w:after="0" w:line="261"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are solely for the benefit of the Administrative Agent, the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Lender, whether or not a party hereto, will be deemed, by its acceptance of the benefits provided under the Loan Documents, to have agreed to the provisions of this Article.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Administrative Agent’s Reliance, Indemnification, Etc.</w:t>
      </w:r>
    </w:p>
    <w:p>
      <w:pPr>
        <w:spacing w:after="0" w:line="225" w:lineRule="exact"/>
        <w:rPr>
          <w:sz w:val="20"/>
          <w:szCs w:val="20"/>
          <w:color w:val="auto"/>
        </w:rPr>
      </w:pPr>
    </w:p>
    <w:p>
      <w:pPr>
        <w:ind w:right="60" w:firstLine="436"/>
        <w:spacing w:after="0" w:line="261"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of its Related Parties shall be (i) liable for any action taken or omitted to be taken by it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84" w:name="page85"/>
    <w:bookmarkEnd w:id="84"/>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Borrower to perform its obligations hereunder or thereunder.</w:t>
      </w:r>
    </w:p>
    <w:p>
      <w:pPr>
        <w:spacing w:after="0" w:line="192" w:lineRule="exact"/>
        <w:rPr>
          <w:sz w:val="20"/>
          <w:szCs w:val="20"/>
          <w:color w:val="auto"/>
        </w:rPr>
      </w:pPr>
    </w:p>
    <w:p>
      <w:pPr>
        <w:ind w:right="40" w:firstLine="436"/>
        <w:spacing w:after="0" w:line="253"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be deemed not to have knowledge of any Default unless and until written notice thereof (stating that it is a “notice of default”) is given to the Administrative Agent by the Borrower,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 or expense suffered by the Borrower, any Subsidiary, any Lender as a result of, any determination of the Credit Exposure or Obligations, any of the component amounts thereof or any portion thereof attributable to each Lender or any Dollar Equivalent.</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(ii) may rely on the Register to the extent set forth in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and shall not be responsible to any Lender for any statements, warranties or representations made by or on behalf of Borrower in connection with this Agreement or any other Loan Document, (v) in determining compliance with any condition hereunder to the making of a Loan that by its terms must be fulfilled to the satisfaction of a Lender, may presume that such condition is satisfactory to such Lender unless the Administrative Agent shall have received notice to the contrary from such Lender sufficiently in advance of the making of such Loan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85" w:name="page86"/>
    <w:bookmarkEnd w:id="85"/>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436"/>
        <w:spacing w:after="0" w:line="224" w:lineRule="auto"/>
        <w:tabs>
          <w:tab w:leader="none" w:pos="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that the Administrative Agent may, but shall not be obligated to, make any Communications available to the Lenders by posting the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40" w:right="60" w:firstLine="436"/>
        <w:spacing w:after="0" w:line="254"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91" w:lineRule="exact"/>
        <w:rPr>
          <w:rFonts w:ascii="Times New Roman" w:cs="Times New Roman" w:eastAsia="Times New Roman" w:hAnsi="Times New Roman"/>
          <w:sz w:val="18"/>
          <w:szCs w:val="18"/>
          <w:color w:val="auto"/>
        </w:rPr>
      </w:pPr>
    </w:p>
    <w:p>
      <w:pPr>
        <w:ind w:left="-40" w:firstLine="436"/>
        <w:spacing w:after="0" w:line="253" w:lineRule="auto"/>
        <w:tabs>
          <w:tab w:leader="none" w:pos="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THIRD-PARTY RIGHTS OR FREEDOM FROM VIRUSES OR OTHER CODE DEFECTS, IS MADE BY THE APPLICABLE PARTIES IN CONNECTION WITH THE COMMUNICATIONS OR THE APPROVED ELECTRONIC PLATFORM. IN NO EVENT SHALL THE ADMINISTRATIVE AGENT, ANY ARRANGER, ANY CO-DOCUMENTATION AGENT, ANY SYNDICATION AGENT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20"/>
          </w:cols>
          <w:pgMar w:left="480" w:top="270" w:right="499" w:bottom="1440" w:gutter="0" w:footer="0" w:header="0"/>
        </w:sectPr>
      </w:pPr>
    </w:p>
    <w:bookmarkStart w:id="86" w:name="page87"/>
    <w:bookmarkEnd w:id="86"/>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by means of electronic communications pursuant to this Section, including through an Approved Electronic Platform.</w:t>
      </w:r>
    </w:p>
    <w:p>
      <w:pPr>
        <w:spacing w:after="0" w:line="176" w:lineRule="exact"/>
        <w:rPr>
          <w:sz w:val="20"/>
          <w:szCs w:val="20"/>
          <w:color w:val="auto"/>
        </w:rPr>
      </w:pPr>
    </w:p>
    <w:p>
      <w:pPr>
        <w:ind w:left="4" w:right="120" w:firstLine="436"/>
        <w:spacing w:after="0" w:line="276" w:lineRule="auto"/>
        <w:tabs>
          <w:tab w:leader="none" w:pos="69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w:t>
      </w:r>
    </w:p>
    <w:p>
      <w:pPr>
        <w:ind w:left="4" w:right="320" w:hanging="4"/>
        <w:spacing w:after="0" w:line="290" w:lineRule="auto"/>
        <w:tabs>
          <w:tab w:leader="none" w:pos="21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157" w:lineRule="exact"/>
        <w:rPr>
          <w:rFonts w:ascii="Times New Roman" w:cs="Times New Roman" w:eastAsia="Times New Roman" w:hAnsi="Times New Roman"/>
          <w:sz w:val="17"/>
          <w:szCs w:val="17"/>
          <w:color w:val="auto"/>
        </w:rPr>
      </w:pPr>
    </w:p>
    <w:p>
      <w:pPr>
        <w:ind w:left="4" w:firstLine="436"/>
        <w:spacing w:after="0" w:line="261" w:lineRule="auto"/>
        <w:tabs>
          <w:tab w:leader="none" w:pos="68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Borrower shall have the right at any time, by written notice to the Administrative Agent, to restrict storage of any Communications on the Approved Electronic Platform.</w:t>
      </w:r>
    </w:p>
    <w:p>
      <w:pPr>
        <w:spacing w:after="0" w:line="179"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6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to give any notice or other communication pursuant to any Loan Document in any other manner specified in such Loan Document.</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The Administrative Agent Individually</w:t>
      </w:r>
      <w:r>
        <w:rPr>
          <w:rFonts w:ascii="Times New Roman" w:cs="Times New Roman" w:eastAsia="Times New Roman" w:hAnsi="Times New Roman"/>
          <w:sz w:val="18"/>
          <w:szCs w:val="18"/>
          <w:color w:val="auto"/>
        </w:rPr>
        <w:t>. With respect to its Commitment and Loans, the Person serving as the Administrative Agent shall have and may exercise the same rights and powers hereunder and is subject to the same obligations and liabilities as and to the extent set forth herein for any other Lender. The terms “Lenders”, “Required Lenders”, “Tranche Majority Lenders” and any similar terms shall, unless the context clearly otherwise indicates, include the Administrative Agent in its individual capacity as a Lender or as one of the Required Lenders or Tranche Majority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Successor Administrative Agent.</w:t>
      </w:r>
    </w:p>
    <w:p>
      <w:pPr>
        <w:spacing w:after="0" w:line="225" w:lineRule="exact"/>
        <w:rPr>
          <w:sz w:val="20"/>
          <w:szCs w:val="20"/>
          <w:color w:val="auto"/>
        </w:rPr>
      </w:pPr>
    </w:p>
    <w:p>
      <w:pPr>
        <w:ind w:left="4" w:right="80" w:firstLine="436"/>
        <w:spacing w:after="0" w:line="258" w:lineRule="auto"/>
        <w:tabs>
          <w:tab w:leader="none" w:pos="6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resign at any time by giving 30 days’ prior written notice thereof to the Lenders and the Borrower, whether or not a successor Administrative Agent has been appointed. Upon any such resignation, APA shall have the right, in consultation with the Required Lenders, to appoint a successor Administrative Agent. If no successor Administrative Agent shall have been so appointed, and shall have accepted such appointment, within 30 days after the retiring Administrative Agent’s giving of notice of resignation, then the retiring Administrative Agent may, on behalf of the Lenders, appoint a successor Administrative Agent,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7" w:name="page88"/>
    <w:bookmarkEnd w:id="8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as of the date of its resignation.</w:t>
      </w:r>
    </w:p>
    <w:p>
      <w:pPr>
        <w:spacing w:after="0" w:line="194" w:lineRule="exact"/>
        <w:rPr>
          <w:sz w:val="20"/>
          <w:szCs w:val="20"/>
          <w:color w:val="auto"/>
        </w:rPr>
      </w:pPr>
    </w:p>
    <w:p>
      <w:pPr>
        <w:ind w:right="60" w:firstLine="436"/>
        <w:spacing w:after="0" w:line="258"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Upon such occurrence, APA shall have the right, in consultation with the Required Lenders, to appoint a successor. If no such successor shall have been so appointed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6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retirement or removal of the Administrative Agent pursuant to paragraph (a) or (b) of this Section, on the date of effectiveness of such resignation or removal,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Following the effectiveness of the Administrative Agent’s resignation or removal from its capacity as such, the provisions of this Article and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88" w:name="page89"/>
    <w:bookmarkEnd w:id="8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9.6 </w:t>
      </w:r>
      <w:r>
        <w:rPr>
          <w:rFonts w:ascii="Times New Roman" w:cs="Times New Roman" w:eastAsia="Times New Roman" w:hAnsi="Times New Roman"/>
          <w:sz w:val="18"/>
          <w:szCs w:val="18"/>
          <w:u w:val="single" w:color="auto"/>
          <w:color w:val="auto"/>
        </w:rPr>
        <w:t>Acknowledgements of Lenders.</w:t>
      </w:r>
    </w:p>
    <w:p>
      <w:pPr>
        <w:spacing w:after="0" w:line="225" w:lineRule="exact"/>
        <w:rPr>
          <w:sz w:val="20"/>
          <w:szCs w:val="20"/>
          <w:color w:val="auto"/>
        </w:rPr>
      </w:pPr>
    </w:p>
    <w:p>
      <w:pPr>
        <w:ind w:left="-20" w:firstLine="436"/>
        <w:spacing w:after="0" w:line="268" w:lineRule="auto"/>
        <w:tabs>
          <w:tab w:leader="none" w:pos="66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the ordinary course of its business, and not for the purpose of investing in the general performance or operations of the Borrower, or for the purpose of purchasing, acquiring or holding any other type of financial instrument (and each Lender agrees not to assert a claim in contravention of the foregoing, such as a claim under the federal or state securities laws), (iii) it has, independently and without reliance upon the Administrative Agent, any Arranger, any Co-Documentation Agent, any Co-Syndication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Arranger, any Co-Documentation Agent, any Co-Syndication Agent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1" w:lineRule="exact"/>
        <w:rPr>
          <w:rFonts w:ascii="Times New Roman" w:cs="Times New Roman" w:eastAsia="Times New Roman" w:hAnsi="Times New Roman"/>
          <w:sz w:val="17"/>
          <w:szCs w:val="17"/>
          <w:color w:val="auto"/>
        </w:rPr>
      </w:pPr>
    </w:p>
    <w:p>
      <w:pPr>
        <w:ind w:left="-20" w:right="100" w:firstLine="436"/>
        <w:spacing w:after="0" w:line="261" w:lineRule="auto"/>
        <w:tabs>
          <w:tab w:leader="none" w:pos="67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60" w:top="270"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similar doctrine. A notice of the Administrative Agent to any Lender under this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 xml:space="preserve"> shall be conclusive, absent manifest error.</w:t>
      </w:r>
    </w:p>
    <w:p>
      <w:pPr>
        <w:spacing w:after="0" w:line="117" w:lineRule="exact"/>
        <w:rPr>
          <w:sz w:val="20"/>
          <w:szCs w:val="20"/>
          <w:color w:val="auto"/>
        </w:rPr>
      </w:pPr>
    </w:p>
    <w:p>
      <w:pPr>
        <w:ind w:left="440" w:firstLine="419"/>
        <w:spacing w:after="0" w:line="253" w:lineRule="auto"/>
        <w:tabs>
          <w:tab w:leader="none" w:pos="107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83"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1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Borrower or any other Loan Party, except, in each case, to the extent such erroneous Payment is, and solely with respect to the amount of such erroneous Payment that is, comprised of funds received by the Administrative Agent from Borrower or any other Loan Party for the purpose of making such erroneous Payment.</w:t>
      </w:r>
    </w:p>
    <w:p>
      <w:pPr>
        <w:spacing w:after="0" w:line="79" w:lineRule="exact"/>
        <w:rPr>
          <w:rFonts w:ascii="Times New Roman" w:cs="Times New Roman" w:eastAsia="Times New Roman" w:hAnsi="Times New Roman"/>
          <w:sz w:val="18"/>
          <w:szCs w:val="18"/>
          <w:color w:val="auto"/>
        </w:rPr>
      </w:pPr>
    </w:p>
    <w:p>
      <w:pPr>
        <w:ind w:left="440" w:right="460" w:firstLine="419"/>
        <w:spacing w:after="0" w:line="266" w:lineRule="auto"/>
        <w:tabs>
          <w:tab w:leader="none" w:pos="117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 xml:space="preserve">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40"/>
          </w:cols>
          <w:pgMar w:left="440" w:top="270" w:right="519" w:bottom="1440" w:gutter="0" w:footer="0" w:header="0"/>
        </w:sectPr>
      </w:pPr>
    </w:p>
    <w:bookmarkStart w:id="90" w:name="page91"/>
    <w:bookmarkEnd w:id="9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9.7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ind w:left="-20" w:right="140" w:firstLine="436"/>
        <w:spacing w:after="0" w:line="261" w:lineRule="auto"/>
        <w:tabs>
          <w:tab w:leader="none" w:pos="6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Borrower,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20" w:right="320" w:firstLine="419"/>
        <w:spacing w:after="0" w:line="282" w:lineRule="auto"/>
        <w:tabs>
          <w:tab w:leader="none" w:pos="105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or the Commitments,</w:t>
      </w:r>
    </w:p>
    <w:p>
      <w:pPr>
        <w:spacing w:after="0" w:line="53" w:lineRule="exact"/>
        <w:rPr>
          <w:rFonts w:ascii="Times New Roman" w:cs="Times New Roman" w:eastAsia="Times New Roman" w:hAnsi="Times New Roman"/>
          <w:sz w:val="18"/>
          <w:szCs w:val="18"/>
          <w:color w:val="auto"/>
        </w:rPr>
      </w:pPr>
    </w:p>
    <w:p>
      <w:pPr>
        <w:ind w:left="420" w:right="180" w:firstLine="419"/>
        <w:spacing w:after="0" w:line="255" w:lineRule="auto"/>
        <w:tabs>
          <w:tab w:leader="none" w:pos="110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 and the conditions for exemptive relief thereunder are and will continue to be satisfied in connection therewith,</w:t>
      </w:r>
    </w:p>
    <w:p>
      <w:pPr>
        <w:spacing w:after="0" w:line="80" w:lineRule="exact"/>
        <w:rPr>
          <w:rFonts w:ascii="Times New Roman" w:cs="Times New Roman" w:eastAsia="Times New Roman" w:hAnsi="Times New Roman"/>
          <w:sz w:val="18"/>
          <w:szCs w:val="18"/>
          <w:color w:val="auto"/>
        </w:rPr>
      </w:pPr>
    </w:p>
    <w:p>
      <w:pPr>
        <w:ind w:left="420" w:firstLine="419"/>
        <w:spacing w:after="0" w:line="256" w:lineRule="auto"/>
        <w:tabs>
          <w:tab w:leader="none" w:pos="115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79" w:lineRule="exact"/>
        <w:rPr>
          <w:rFonts w:ascii="Times New Roman" w:cs="Times New Roman" w:eastAsia="Times New Roman" w:hAnsi="Times New Roman"/>
          <w:sz w:val="18"/>
          <w:szCs w:val="18"/>
          <w:color w:val="auto"/>
        </w:rPr>
      </w:pPr>
    </w:p>
    <w:p>
      <w:pPr>
        <w:ind w:left="420" w:right="160" w:firstLine="419"/>
        <w:spacing w:after="0" w:line="282" w:lineRule="auto"/>
        <w:tabs>
          <w:tab w:leader="none" w:pos="114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7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Borrower or any other Loan Party, that:</w:t>
      </w:r>
    </w:p>
    <w:p>
      <w:pPr>
        <w:spacing w:after="0" w:line="75" w:lineRule="exact"/>
        <w:rPr>
          <w:rFonts w:ascii="Times New Roman" w:cs="Times New Roman" w:eastAsia="Times New Roman" w:hAnsi="Times New Roman"/>
          <w:sz w:val="18"/>
          <w:szCs w:val="18"/>
          <w:color w:val="auto"/>
        </w:rPr>
      </w:pPr>
    </w:p>
    <w:p>
      <w:pPr>
        <w:ind w:left="420" w:right="160" w:firstLine="419"/>
        <w:spacing w:after="0" w:line="266" w:lineRule="auto"/>
        <w:tabs>
          <w:tab w:leader="none" w:pos="105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Administrative Agent, or any Arranger, any Co-Documentation Agent, any Co-Syndication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60" w:top="270" w:right="459" w:bottom="1440" w:gutter="0" w:footer="0" w:header="0"/>
        </w:sectPr>
      </w:pPr>
    </w:p>
    <w:bookmarkStart w:id="91" w:name="page92"/>
    <w:bookmarkEnd w:id="91"/>
    <w:p>
      <w:pPr>
        <w:ind w:left="444" w:right="60" w:firstLine="419"/>
        <w:spacing w:after="0" w:line="261" w:lineRule="auto"/>
        <w:tabs>
          <w:tab w:leader="none" w:pos="113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Person making the investment decision on behalf of such Lender with respect to the entrance into, participation in, administration of and performance of the Loans, the Commitments and this Agreement is independent (within the meaning of 29 CFR § 2510.3-21, as amended from time to time) and is a bank, an insurance carrier, an investment adviser, a broker-dealer or other person that holds, or has under management or control, total assets of at least $50,000,000, in each case as described in 29 CFR § 2510.3-21(c)(1)(i)(A)-(E),</w:t>
      </w:r>
    </w:p>
    <w:p>
      <w:pPr>
        <w:spacing w:after="0" w:line="71" w:lineRule="exact"/>
        <w:rPr>
          <w:rFonts w:ascii="Times New Roman" w:cs="Times New Roman" w:eastAsia="Times New Roman" w:hAnsi="Times New Roman"/>
          <w:sz w:val="18"/>
          <w:szCs w:val="18"/>
          <w:color w:val="auto"/>
        </w:rPr>
      </w:pPr>
    </w:p>
    <w:p>
      <w:pPr>
        <w:jc w:val="both"/>
        <w:ind w:left="444" w:right="20" w:firstLine="419"/>
        <w:spacing w:after="0" w:line="266" w:lineRule="auto"/>
        <w:tabs>
          <w:tab w:leader="none" w:pos="118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spacing w:after="0" w:line="67" w:lineRule="exact"/>
        <w:rPr>
          <w:rFonts w:ascii="Times New Roman" w:cs="Times New Roman" w:eastAsia="Times New Roman" w:hAnsi="Times New Roman"/>
          <w:sz w:val="18"/>
          <w:szCs w:val="18"/>
          <w:color w:val="auto"/>
        </w:rPr>
      </w:pPr>
    </w:p>
    <w:p>
      <w:pPr>
        <w:ind w:left="444" w:right="40" w:firstLine="419"/>
        <w:spacing w:after="0" w:line="289" w:lineRule="auto"/>
        <w:tabs>
          <w:tab w:leader="none" w:pos="1172"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spacing w:after="0" w:line="49" w:lineRule="exact"/>
        <w:rPr>
          <w:rFonts w:ascii="Times New Roman" w:cs="Times New Roman" w:eastAsia="Times New Roman" w:hAnsi="Times New Roman"/>
          <w:sz w:val="17"/>
          <w:szCs w:val="17"/>
          <w:color w:val="auto"/>
        </w:rPr>
      </w:pPr>
    </w:p>
    <w:p>
      <w:pPr>
        <w:ind w:left="444" w:right="300" w:firstLine="419"/>
        <w:spacing w:after="0" w:line="282" w:lineRule="auto"/>
        <w:tabs>
          <w:tab w:leader="none" w:pos="1122"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or other compensation is being paid directly to the Administrative Agent, or any Arranger or any their respective Affiliates for investment advice (as opposed to other services) in connection with the Loans, the Commitments or this Agreement.</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72" w:lineRule="auto"/>
        <w:tabs>
          <w:tab w:leader="none" w:pos="689"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and each Arranger, each Co-Syndication Agent and each Co-Documentation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1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receive interest or other payments with respect to the Loans, the Commitments and this Agreement and any other Loan Document,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4"/>
          </w:cols>
          <w:pgMar w:left="436" w:top="270" w:right="479" w:bottom="1440" w:gutter="0" w:footer="0" w:header="0"/>
        </w:sectPr>
      </w:pPr>
    </w:p>
    <w:bookmarkStart w:id="92" w:name="page93"/>
    <w:bookmarkEnd w:id="92"/>
    <w:p>
      <w:pPr>
        <w:ind w:left="48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firstLine="436"/>
        <w:spacing w:after="0" w:line="289" w:lineRule="auto"/>
        <w:tabs>
          <w:tab w:leader="none" w:pos="48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Generally</w:t>
      </w:r>
      <w:r>
        <w:rPr>
          <w:rFonts w:ascii="Times New Roman" w:cs="Times New Roman" w:eastAsia="Times New Roman" w:hAnsi="Times New Roman"/>
          <w:sz w:val="17"/>
          <w:szCs w:val="17"/>
          <w:color w:val="auto"/>
        </w:rPr>
        <w:t>.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electronic mail or, in respect of notices to the Administrative Agent, by telecopy, as follows:</w:t>
      </w:r>
    </w:p>
    <w:p>
      <w:pPr>
        <w:spacing w:after="0" w:line="50" w:lineRule="exact"/>
        <w:rPr>
          <w:sz w:val="20"/>
          <w:szCs w:val="20"/>
          <w:color w:val="auto"/>
        </w:rPr>
      </w:pPr>
    </w:p>
    <w:p>
      <w:pPr>
        <w:ind w:left="460" w:hanging="224"/>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APA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APA Corporation</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2000 Post Oak Boulevard, Suite 100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Houston, Texas 77056-4400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Attention:   Ben C. Rodgers</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Senior Vice President, Treasurer and Midstream and Marketing</w:t>
      </w:r>
    </w:p>
    <w:p>
      <w:pPr>
        <w:spacing w:after="0" w:line="9" w:lineRule="exact"/>
        <w:rPr>
          <w:sz w:val="20"/>
          <w:szCs w:val="20"/>
          <w:color w:val="auto"/>
        </w:rPr>
      </w:pPr>
    </w:p>
    <w:p>
      <w:pPr>
        <w:ind w:left="1220" w:right="7260" w:firstLine="8"/>
        <w:spacing w:after="0" w:line="265" w:lineRule="auto"/>
        <w:tabs>
          <w:tab w:leader="none" w:pos="14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 APA Corporation Telephone:  (713) 296-6752</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ben.rodgers@apachecorp.com</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Assistant Treasurer</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APA Corporation</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2000 Post Oak Boulevard, Suite 100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Houston, Texas 77056-4400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Telephone:  (713) 296-6642</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bryan.patrick@apachecorp.com</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aneil.kochar@apachecorp.com</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cash.mgmt@apachecorp.com</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creditagreement@apachecorp.com</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and with copy to each of:</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APA Corporation</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2000 Post Oak Boulevard, Suite 100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Houston, Texas 77056-4400</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Telephone: (713) 296-6204</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anthony.lannie@apachecorp.com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600"/>
          </w:cols>
          <w:pgMar w:left="640" w:top="270" w:right="659" w:bottom="1440" w:gutter="0" w:footer="0" w:header="0"/>
        </w:sectPr>
      </w:pPr>
    </w:p>
    <w:bookmarkStart w:id="93" w:name="page94"/>
    <w:bookmarkEnd w:id="93"/>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Nora Dobin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Senior Legal Advisor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APA Corporation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2000 Post Oak Boulevard, Suite 100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Texas 77056-4400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(713) 296-6744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nora.dobin@apachecorp.com</w:t>
      </w:r>
    </w:p>
    <w:p>
      <w:pPr>
        <w:spacing w:after="0" w:line="99" w:lineRule="exact"/>
        <w:rPr>
          <w:sz w:val="20"/>
          <w:szCs w:val="20"/>
          <w:color w:val="auto"/>
        </w:rPr>
      </w:pPr>
    </w:p>
    <w:p>
      <w:pPr>
        <w:ind w:left="700" w:hanging="264"/>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to the Administrative Agent,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4041 Ogletown Christiana Rd.,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Floor 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Newark, Delaware 19713-3159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Jacob McNett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302-634-3367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jacob.mcnett@chase.com</w:t>
      </w:r>
    </w:p>
    <w:p>
      <w:pPr>
        <w:spacing w:after="0" w:line="99" w:lineRule="exact"/>
        <w:rPr>
          <w:sz w:val="20"/>
          <w:szCs w:val="20"/>
          <w:color w:val="auto"/>
        </w:rPr>
      </w:pPr>
    </w:p>
    <w:p>
      <w:pPr>
        <w:ind w:left="440" w:right="560" w:hanging="4"/>
        <w:spacing w:after="0" w:line="282" w:lineRule="auto"/>
        <w:tabs>
          <w:tab w:leader="none" w:pos="7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provided to the Administrative Agent and Borrower or as set forth in its Administrative Questionnaire.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to the extent provided in paragraph (b) below, shall be effective as provided in said paragraph (b).</w:t>
      </w:r>
    </w:p>
    <w:p>
      <w:pPr>
        <w:spacing w:after="0" w:line="180" w:lineRule="exact"/>
        <w:rPr>
          <w:sz w:val="20"/>
          <w:szCs w:val="20"/>
          <w:color w:val="auto"/>
        </w:rPr>
      </w:pPr>
    </w:p>
    <w:p>
      <w:pPr>
        <w:ind w:right="280" w:firstLine="436"/>
        <w:spacing w:after="0" w:line="258"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Borrower, any Loan Party, the Lenders hereunder may be delivered or furnished by using Approved Electronic Platforms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to the Lenders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94" w:name="page95"/>
    <w:bookmarkEnd w:id="94"/>
    <w:p>
      <w:pPr>
        <w:ind w:left="700" w:hanging="264"/>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party hereto may change its address or telecopy number for notices and other communications hereunder by notice to the other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are cumulative and are not exclusive of any rights or remedies that they would otherwise have. No waiver of any provision of this Agreement or any other Loan Document or consent to any departure by Borrower therefrom shall in any event be effective except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below and the last sentence of this Section 10.2(b), neither this Agreement nor any other Loan Document nor any provision hereof or thereof may be waived, amended or modified except pursuant to an agreement or agreements in writing entered into by Borrower and the Required Lenders or by Borrower and the Administrative Agent with the consent of the Required Lenders; provided that no such agreement shall (i) increase the Commitment of any Lender or the Commitments without the written consent of such Lender or each Lender, respectively, (ii) reduce the principal amount of any Loan or reduce the rate of interest thereon, or reduce any fees payable hereunder, without the written consent of each Lender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Lender affected thereby, (iv) change </w:t>
      </w:r>
      <w:r>
        <w:rPr>
          <w:rFonts w:ascii="Times New Roman" w:cs="Times New Roman" w:eastAsia="Times New Roman" w:hAnsi="Times New Roman"/>
          <w:sz w:val="18"/>
          <w:szCs w:val="18"/>
          <w:u w:val="single" w:color="auto"/>
          <w:color w:val="auto"/>
        </w:rPr>
        <w:t>Sections 2.17(a)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the last sentence of </w:t>
      </w:r>
      <w:r>
        <w:rPr>
          <w:rFonts w:ascii="Times New Roman" w:cs="Times New Roman" w:eastAsia="Times New Roman" w:hAnsi="Times New Roman"/>
          <w:sz w:val="18"/>
          <w:szCs w:val="18"/>
          <w:u w:val="single" w:color="auto"/>
          <w:color w:val="auto"/>
        </w:rPr>
        <w:t>Section 2.8(c)</w:t>
      </w:r>
      <w:r>
        <w:rPr>
          <w:rFonts w:ascii="Times New Roman" w:cs="Times New Roman" w:eastAsia="Times New Roman" w:hAnsi="Times New Roman"/>
          <w:sz w:val="18"/>
          <w:szCs w:val="18"/>
          <w:color w:val="auto"/>
        </w:rPr>
        <w:t xml:space="preserve"> in a manner that would alter the pro rata sharing of payments or the pro rata reduction in Commitments required thereby, without the written consent of each Lender, (v) change the payment waterfall provisions of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without the written consent of each Lender, (vi) except pursuant to its terms, release or assign the Apache Guaranty (or, to the extent required by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Target Guaranty), without the written consent of each Lender, or (vii) change any of the provisions of this Section or the definition of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“Tranche Majority Lenders” or any other provision hereof or thereof specifying the number or percentage of Lenders required to waive, amend or modify any rights hereunder or thereunder or make any determination or grant any consent hereunder or thereunder, without the written consent of each Lender; provided further that no such agreement shall amend, modify or otherwise affect the rights or duties of the Administrative Agent hereunder or thereunder, without the prior written consent of the Administrative Agent. To the extent any amendment, waiver or consent applies to only one Class of Loans, only the Tranche Majority Lenders (and not the Required Lenders) or all Lenders, as applicable, of such Class shall be needed to approve such amendment, waiver or consent.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95" w:name="page96"/>
    <w:bookmarkEnd w:id="95"/>
    <w:p>
      <w:pPr>
        <w:jc w:val="both"/>
        <w:ind w:left="4" w:right="20" w:firstLine="436"/>
        <w:spacing w:after="0" w:line="261" w:lineRule="auto"/>
        <w:tabs>
          <w:tab w:leader="none" w:pos="6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upon notice to the Lenders, without any further action or consent of any other party to this Agreement.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54" w:lineRule="auto"/>
        <w:tabs>
          <w:tab w:leader="none" w:pos="68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(i) all reasonable out-of-pocket expenses incurred by the Arrangers and the Agents, including the reasonable fees, charges and disbursements of counsel for the Agents, in connection with the syndication of the credit facilities provided for herein, the preparation, execution, delivery and administration of this Agreement and the other Loan Documents or any amendments, modifications or waivers of the provisions hereof or thereof (whether or not the transactions contemplated hereby or thereby shall be consummated), (ii) [reserved] and (iii) all reasonable out-of-pocket expenses incurred by the Agents or any Lender, including the reasonable fees, charges and disbursements of any counsel for the Agents or any Lender, in connection with the enforcement or protection of its rights in connection with this Agreement and the other Loan Documents, including its rights under this Section, or in connection with the Loans made hereunder and documentary Taxes, including all such out-of-pocket expenses incurred during any workout, restructuring or negotiations in respect of such Loans or this Agreement.</w:t>
      </w:r>
    </w:p>
    <w:p>
      <w:pPr>
        <w:spacing w:after="0" w:line="191" w:lineRule="exact"/>
        <w:rPr>
          <w:rFonts w:ascii="Times New Roman" w:cs="Times New Roman" w:eastAsia="Times New Roman" w:hAnsi="Times New Roman"/>
          <w:sz w:val="18"/>
          <w:szCs w:val="18"/>
          <w:color w:val="auto"/>
        </w:rPr>
      </w:pPr>
    </w:p>
    <w:p>
      <w:pPr>
        <w:ind w:left="4" w:right="300" w:firstLine="436"/>
        <w:spacing w:after="0" w:line="270" w:lineRule="auto"/>
        <w:tabs>
          <w:tab w:leader="none" w:pos="699"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indemnify the Agents, the Arrangers and each Lender,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WHETHER OR NOT RELATED TO ANY NEGLIGENCE OF THE INDEMNITEE</w:t>
      </w:r>
      <w:r>
        <w:rPr>
          <w:rFonts w:ascii="Times New Roman" w:cs="Times New Roman" w:eastAsia="Times New Roman" w:hAnsi="Times New Roman"/>
          <w:sz w:val="17"/>
          <w:szCs w:val="17"/>
          <w:color w:val="auto"/>
        </w:rPr>
        <w:t>,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or 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 including, without limitation,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(ii) any Loan or the actual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and regardless of whether brought by a third party or by Borrower and regardless of whether any Indemnitee is a party thereto; provided that such indemnity shall not, as to any Indemnitee, be available to the extent that such losses, claims, damages, liabilities or related expenses (i) resulted from the gross negligence or willful misconduct of such Indemnitee or (ii) arise in connection with any issue in litigation commenced by Borrower or any of its Subsidiaries against any Indemnitee for which a final judgment is entered in favor of Borrower or any of its Subsidiaries against such Indemnitee.</w:t>
      </w:r>
    </w:p>
    <w:p>
      <w:pPr>
        <w:spacing w:after="0" w:line="1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44"/>
          </w:cols>
          <w:pgMar w:left="436" w:top="270" w:right="519" w:bottom="1440" w:gutter="0" w:footer="0" w:header="0"/>
        </w:sectPr>
      </w:pPr>
    </w:p>
    <w:bookmarkStart w:id="96" w:name="page97"/>
    <w:bookmarkEnd w:id="96"/>
    <w:p>
      <w:pPr>
        <w:ind w:firstLine="436"/>
        <w:spacing w:after="0" w:line="253" w:lineRule="auto"/>
        <w:tabs>
          <w:tab w:leader="none" w:pos="6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Lender severally agrees to pay any amount required to be paid by the Borrower under paragraph (a) or (b)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to the Administrative Agent and each Related Party of the Administrative Agent (each, an “</w:t>
      </w:r>
      <w:r>
        <w:rPr>
          <w:rFonts w:ascii="Times New Roman" w:cs="Times New Roman" w:eastAsia="Times New Roman" w:hAnsi="Times New Roman"/>
          <w:sz w:val="18"/>
          <w:szCs w:val="18"/>
          <w:u w:val="single" w:color="auto"/>
          <w:color w:val="auto"/>
        </w:rPr>
        <w:t>Agent Indemnitee</w:t>
      </w:r>
      <w:r>
        <w:rPr>
          <w:rFonts w:ascii="Times New Roman" w:cs="Times New Roman" w:eastAsia="Times New Roman" w:hAnsi="Times New Roman"/>
          <w:sz w:val="18"/>
          <w:szCs w:val="18"/>
          <w:color w:val="auto"/>
        </w:rPr>
        <w:t>”) (to the extent not reimbursed by the Borrower and without limiting the obligation of the Borrower to do so), ratably according to their respective Applicable Percentage in effect on the date on which indemnification is sought under this Section (or, if indemnification is sought after the date upon which the Commitments shall have terminated or expired and the Loans shall have been paid in full, ratably in accordance with such Applicable Percentage immediately prior to such date),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of the Loans and all other amounts payable hereunder.</w:t>
      </w:r>
    </w:p>
    <w:p>
      <w:pPr>
        <w:spacing w:after="0" w:line="187"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 (i) Borrower shall not assert, and hereby waives, any claim against any Indemnitee, and (ii) Agents and Lenders shall not assert, and hereby waive, any claim against Borrower, in each case on any theory of liability, for special, indirect, consequential or punitive damages (as opposed to direct or actual damages) arising out of, in connection with, or as a result of, this Agreement or any agreement or instrument contemplated hereby (including, without limitation, any Loan Document), the Transactions or any Loan or the use of the proceeds thereof, except for any such claim arising from the gross negligence or willful misconduct of such Indemnitee or Borrower, as applicable; provided that, notwithstanding the foregoing, nothing contained in this sentence shall limit Borrower’s indemnity obligations with respect to claims asserted by Persons (other than the Agents and the Lenders) to the extent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shall be payable not later than 30 days after written demand therefor.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5"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(i) Borrower may not assign or otherwise transfer any of its rights or obligations hereunder without the prior written consent of each Lender (and any attempted assignment or transfer by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and, to the extent expressly contemplated hereby, the Related Parties of each of the Administrative Agent and the Lenders) any legal or equitable right, remedy or claim under or by reason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97" w:name="page98"/>
    <w:bookmarkEnd w:id="97"/>
    <w:p>
      <w:pPr>
        <w:ind w:left="-20" w:firstLine="436"/>
        <w:spacing w:after="0" w:line="251" w:lineRule="auto"/>
        <w:tabs>
          <w:tab w:leader="none" w:pos="6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may assign to one or more Persons (other than an Ineligible Institution) all or a portion of its rights and obligations under this Agreement as a Lender (including all or a portion of its Commitment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APA must give its prior written consent to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APA shall not unreasonably withhold or delay its consent and (2) APA shall be deemed to have consented to an assignment unless it shall have objected thereto by written notice to the Administrative Agent within ten (10) Business Days after having received notice thereof (A)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(B) by electronic mail to </w:t>
      </w:r>
      <w:r>
        <w:rPr>
          <w:rFonts w:ascii="Times New Roman" w:cs="Times New Roman" w:eastAsia="Times New Roman" w:hAnsi="Times New Roman"/>
          <w:sz w:val="18"/>
          <w:szCs w:val="18"/>
          <w:u w:val="single" w:color="auto"/>
          <w:color w:val="auto"/>
        </w:rPr>
        <w:t>cash.mgmt@apachecorp.com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creditagreement@apachecorp.com</w:t>
      </w:r>
      <w:r>
        <w:rPr>
          <w:rFonts w:ascii="Times New Roman" w:cs="Times New Roman" w:eastAsia="Times New Roman" w:hAnsi="Times New Roman"/>
          <w:sz w:val="18"/>
          <w:szCs w:val="18"/>
          <w:color w:val="auto"/>
        </w:rPr>
        <w:t xml:space="preserve"> and such other e-mail contacts that APA notifies the Administrative Agent in writing from time to time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(ii) the Administrative Agent must give its prior written consent to such assignment (which consent shall not be unreasonably withheld or delayed), (iii) except in the case of an assignment to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be in increments of $1,000,000 and not less than $10,000,000 unless each of Borrower and the Administrative Agent otherwise consent, (iv) each partial assignment shall be made as an assignment of a proportionate part of all the assigning Lender’s rights and obligations under this Agreement, (v)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 (vi) the assignee, if it shall not be a Lender, shall deliver to the Administrative Agent an Administrative Questionnaire;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consent of APA otherwise required under this paragraph shall not be required if an Event of Default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has occurred and is continuing. Subject to acceptance and recording thereof pursuant to paragraph (d) of this Section, from and after the effective date specified in each Assignment and Assumption delivered pursuant to this </w:t>
      </w:r>
      <w:r>
        <w:rPr>
          <w:rFonts w:ascii="Times New Roman" w:cs="Times New Roman" w:eastAsia="Times New Roman" w:hAnsi="Times New Roman"/>
          <w:sz w:val="18"/>
          <w:szCs w:val="18"/>
          <w:u w:val="single" w:color="auto"/>
          <w:color w:val="auto"/>
        </w:rPr>
        <w:t>Section 10.4(b)</w:t>
      </w:r>
      <w:r>
        <w:rPr>
          <w:rFonts w:ascii="Times New Roman" w:cs="Times New Roman" w:eastAsia="Times New Roman" w:hAnsi="Times New Roman"/>
          <w:sz w:val="18"/>
          <w:szCs w:val="18"/>
          <w:color w:val="auto"/>
        </w:rPr>
        <w:t xml:space="preserve">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Any assignment or transfer by a Lender of rights or obligations under this Agreement as a Lender that does not comply with this paragraph shall be treated for purposes of this Agreement as a sale by such Lender of a participation in such rights and obligations in accordance with paragraph (e) of this Section.</w:t>
      </w:r>
    </w:p>
    <w:p>
      <w:pPr>
        <w:spacing w:after="0" w:line="204" w:lineRule="exact"/>
        <w:rPr>
          <w:rFonts w:ascii="Times New Roman" w:cs="Times New Roman" w:eastAsia="Times New Roman" w:hAnsi="Times New Roman"/>
          <w:sz w:val="18"/>
          <w:szCs w:val="18"/>
          <w:color w:val="auto"/>
        </w:rPr>
      </w:pPr>
    </w:p>
    <w:p>
      <w:pPr>
        <w:ind w:left="-20" w:right="60" w:firstLine="436"/>
        <w:spacing w:after="0" w:line="256" w:lineRule="auto"/>
        <w:tabs>
          <w:tab w:leader="none" w:pos="6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Borrower, shall maintain at one of its offices in The City of New York a copy of each Assignment and Assumption delivered to it and a register for the recordation of the names and addresses of the Lenders, and the Commitment of, and principal amount of the Loans owing to, each Lender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Borrower and any Lender, at any reasonable time and from time to time upon reasonable prior notice.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460" w:top="270" w:right="479" w:bottom="1440" w:gutter="0" w:footer="0" w:header="0"/>
        </w:sectPr>
      </w:pPr>
    </w:p>
    <w:bookmarkStart w:id="98" w:name="page99"/>
    <w:bookmarkEnd w:id="98"/>
    <w:p>
      <w:pPr>
        <w:ind w:left="4" w:right="20" w:firstLine="436"/>
        <w:spacing w:after="0" w:line="253" w:lineRule="auto"/>
        <w:tabs>
          <w:tab w:leader="none" w:pos="6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and will provide prompt written notice to Borrower of the effectiveness of such Assignment and Assumption;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Borrower or the Administrative Agent, sell participations to one or more banks or other entities (a</w:t>
      </w:r>
    </w:p>
    <w:p>
      <w:pPr>
        <w:spacing w:after="0" w:line="27" w:lineRule="exact"/>
        <w:rPr>
          <w:sz w:val="20"/>
          <w:szCs w:val="20"/>
          <w:color w:val="auto"/>
        </w:rPr>
      </w:pPr>
    </w:p>
    <w:p>
      <w:pPr>
        <w:ind w:left="4" w:right="3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other than an Ineligible Institution, in all or a portion of such Lender’s rights and obligations under this Agreement (including all or a portion of its Commitment and the Loans owing to it); provided that (i) such Lender’s obligations under this Agreement shall remain unchanged,</w:t>
      </w:r>
    </w:p>
    <w:p>
      <w:pPr>
        <w:spacing w:after="0" w:line="1" w:lineRule="exact"/>
        <w:rPr>
          <w:sz w:val="20"/>
          <w:szCs w:val="20"/>
          <w:color w:val="auto"/>
        </w:rPr>
      </w:pPr>
    </w:p>
    <w:p>
      <w:pPr>
        <w:ind w:left="4" w:hanging="4"/>
        <w:spacing w:after="0" w:line="251" w:lineRule="auto"/>
        <w:tabs>
          <w:tab w:leader="none" w:pos="2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remain solely responsible to the other parties hereto for the performance of such obligations, (iii) Borrower, the Administrative Agent and the other Lenders shall continue to deal solely and directly with such Lender in connection with such Lender’s rights and obligations under this Agreement, and (iv) if such Participant is not a Lender or an Affiliate of a Lender, such Lender shall have given notice to Borrower of the name of the Participant and the amount of such participation.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clauses (ii) and (iii) of the first proviso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that affects such Participant. Subject to paragraph (f) of this Section and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Borrower agrees that each Participant shall be entitled to the benefits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(b)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as though it were a Lender, provided such Participant agrees to be subject to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as though it were a Lender.</w:t>
      </w:r>
    </w:p>
    <w:p>
      <w:pPr>
        <w:spacing w:after="0" w:line="192"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shall not be entitled to receive any greater payment under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Borrower shall expressly agree otherwise in writing.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unless Borrower is notified of the participation sold to such Participant and such Participant agrees, for the benefit of Borrower, to comply with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 xml:space="preserve"> as though it were a Lender.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99" w:name="page100"/>
    <w:bookmarkEnd w:id="99"/>
    <w:p>
      <w:pPr>
        <w:ind w:right="160" w:firstLine="436"/>
        <w:spacing w:after="0" w:line="256"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that sells a participation shall, acting solely for this purpose as an agent of, but with no fiduciary duties to, Borrower,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United States Treasury Regulations.</w:t>
      </w:r>
    </w:p>
    <w:p>
      <w:pPr>
        <w:spacing w:after="0" w:line="187"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9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pledge or assign a security interest in all or any portion of its rights under this Agreement to secure obligations of such Lender to a Federal Reserve Bank or, in the case of a Lender organized in a jurisdiction outside of the United States, a comparable Person,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right="380" w:firstLine="436"/>
        <w:spacing w:after="0" w:line="266" w:lineRule="auto"/>
        <w:tabs>
          <w:tab w:leader="none" w:pos="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no assignments or participations shall be made to Borrower or any of its Affiliates or Subsidiaries, any Defaulting Lender or its Lender Parent or to any natural person, or to any Person who, upon becoming a Lender hereunder, would constitute any of the foregoing Persons described in this clause.</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Borrower herein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The provisions of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36"/>
        <w:spacing w:after="0" w:line="266" w:lineRule="auto"/>
        <w:tabs>
          <w:tab w:leader="none" w:pos="6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Agents constitute the entire contract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100" w:name="page101"/>
    <w:bookmarkEnd w:id="100"/>
    <w:p>
      <w:pPr>
        <w:ind w:left="4" w:right="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64" w:lineRule="exact"/>
        <w:rPr>
          <w:sz w:val="20"/>
          <w:szCs w:val="20"/>
          <w:color w:val="auto"/>
        </w:rPr>
      </w:pPr>
    </w:p>
    <w:p>
      <w:pPr>
        <w:ind w:left="4" w:firstLine="436"/>
        <w:spacing w:after="0" w:line="253" w:lineRule="auto"/>
        <w:tabs>
          <w:tab w:leader="none" w:pos="6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an executed counterpart of a signature page of (x) this Agreement, (y) any other Loan Document or (z) any document, amendment, approval, consent, notice (including, for the avoidance of doubt, any notice delivered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certificate, request, statement, disclosure or authorization related to this Agreement, any other Loan Document and/or the transactions contemplated hereby and/or thereby (each item listed in this clause (z),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(i) to include Electronic Signatures and</w:t>
      </w:r>
    </w:p>
    <w:p>
      <w:pPr>
        <w:spacing w:after="0" w:line="2" w:lineRule="exact"/>
        <w:rPr>
          <w:rFonts w:ascii="Times New Roman" w:cs="Times New Roman" w:eastAsia="Times New Roman" w:hAnsi="Times New Roman"/>
          <w:sz w:val="18"/>
          <w:szCs w:val="18"/>
          <w:color w:val="auto"/>
        </w:rPr>
      </w:pPr>
    </w:p>
    <w:p>
      <w:pPr>
        <w:ind w:left="4" w:right="40" w:hanging="4"/>
        <w:spacing w:after="0" w:line="251" w:lineRule="auto"/>
        <w:tabs>
          <w:tab w:leader="none" w:pos="26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set forth in this Agreement or any other Loan Document,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to the extent the Administrative Agent has agreed to accept any Electronic Signature, each party to this Agreement shall be entitled to rely on such Electronic Signature purportedly given by or on behalf of another party to this Agreement, other Loan Document or any Ancillary Document without further verification thereof and without any obligation to review the appearance or form of any such Electronic Signature. Without limiting the generality of the foregoing, each party to this Agreement hereby (a) agrees that, for all purposes, including without limitation, in connection with any workout, restructuring, enforcement of remedies, bankruptcy proceedings or litigation among the Administrative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each party to this Agreement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4"/>
          </w:cols>
          <w:pgMar w:left="436" w:top="270" w:right="459" w:bottom="1440" w:gutter="0" w:footer="0" w:header="0"/>
        </w:sectPr>
      </w:pPr>
    </w:p>
    <w:bookmarkStart w:id="101" w:name="page102"/>
    <w:bookmarkEnd w:id="10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signature pages thereto and (d) waives any claim against any party to this Agreement or any of its Related Parties for any liabilities arising solely from the reliance by another party to this Agreement on or use of Electronic Signatures and/or transmissions by telecopy, emailed pdf. or any other electronic means that reproduces an image of an actual executed signature page, including any liabilities arising as a result of the failure of any party to this Agreement to use any available security measures in connection with the execution, delivery or transmission of any Electronic Signature.</w:t>
      </w:r>
    </w:p>
    <w:p>
      <w:pPr>
        <w:spacing w:after="0" w:line="180"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and the Obligations of Borrower shall have been accelerated, each Lender and each of its Affiliates is hereby authorized at any time and from time to time, to the fullest extent permitted by law, to set off and apply any and all deposits (general or special, time or demand, provisional or final) at any time held by such Lender or Affiliate to or for the credit or the account of Borrower against any of and all the obligations of Borrower now or hereafter existing under this Agreement held by such Lender, irrespective of whether or not such Lender shall have made any demand under this Agreement and although such obligations may be unmatured. Any Lender exercising its right of setoff pursuant to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shall provide prompt written notice to the Administrative Agent of the occurrence of such setoff, the amount of such setoff and any other material details of such setoff. The rights of each Lender under this Section are in addition to other rights and remedies (including other rights of setoff) which such Lender may have.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10.9(a)</w:t>
      </w:r>
      <w:r>
        <w:rPr>
          <w:rFonts w:ascii="Times New Roman" w:cs="Times New Roman" w:eastAsia="Times New Roman" w:hAnsi="Times New Roman"/>
          <w:sz w:val="18"/>
          <w:szCs w:val="18"/>
          <w:color w:val="auto"/>
        </w:rPr>
        <w:t>, THIS AGREEMENT AND THE OTHER LOAN DOCUMENTS SHALL BE CONSTRUED IN ACCORDANCE WITH AND GOVERNED BY THE LAW OF THE STATE OF NEW YORK WITHOUT GIVING EFFECT TO ITS PRINCIPLES OR RULES OF CONFLICT OF LAWS TO THE EXTENT SUCH PRINCIPLES OR RULES ARE NOT MANDATORILY APPLICABLE BY STATUTE AND WOULD REQUIRE OR PERMIT THE APPLICATION OF THE LAWS OF ANOTHER JURISDICTION; PROVIDED, THAT (I) THE INTERPRETATION OF THE DEFINITION OF COMPANY MATERIAL ADVERSE EFFECT (AS DEFINED IN THE ACQUISITION AGREEMENT) AND WHETHER OR NOT A COMPANY MATERIAL ADVERSE EFFECT (AS DEFINED IN THE ACQUISITION AGREEMENT) HAS OCCURRED, (II) THE DETERMINATION OF THE ACCURACY OF ANY ACQUISITION AGREEMENT REPRESENTATION AND WHETHER AS A RESULT OF ANY INACCURACY THEREOF, THE BORROWER (OR ITS APPLICABLE AFFILIATES) HAS THE RIGHT TO TERMINATE ITS OBLIGATION TO CONSUMMATE THE ACQUISITION (OR OTHERWISE DOES NOT HAVE AN OBLIGATION TO CLOSE) UNDER THE ACQUISITION AGREEMENT AS A RESULT OF A FAILURE OF SUCH REPRESENTATIONS IN THE ACQUISITION AGREEMENT TO BE ACCURATE AND (III)</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70" w:right="459" w:bottom="1440" w:gutter="0" w:footer="0" w:header="0"/>
        </w:sectPr>
      </w:pPr>
    </w:p>
    <w:bookmarkStart w:id="102" w:name="page103"/>
    <w:bookmarkEnd w:id="10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CONDITIONS TO THE ACQUISITION SET FORTH IN THE ACQUISITION AGREEMENT OTHER THAN SUCH CONDITIONS THAT BY THEIR NATURE ARE TO BE SATISFIED UPON THE CLOSING OF THE ACQUISITION, HAVE BEEN SATISFIED OR WAIVED OR ARE EXPECTED TO BE SATISFIED AND WAIVED ON THE CLOSING DATE, IN EACH CASE, SHALL BE CONSTRUED AND GOVERNED BY AND IN ACCORDANCE WITH THE LAWS (AS DEFINED IN THE ACQUISITION AGREEMENT AS IN EFFECT ON THE DATE HEREOF) OF THE STATE OF DELAWARE, WITHOUT REGARD TO THE CONFLICTS OF LAWS PROVISIONS, RULES OR PRINCIPLES THEREOF (OR ANY OTHER JURISDICTION).</w:t>
      </w:r>
    </w:p>
    <w:p>
      <w:pPr>
        <w:spacing w:after="0" w:line="187" w:lineRule="exact"/>
        <w:rPr>
          <w:sz w:val="20"/>
          <w:szCs w:val="20"/>
          <w:color w:val="auto"/>
        </w:rPr>
      </w:pPr>
    </w:p>
    <w:p>
      <w:pPr>
        <w:ind w:firstLine="436"/>
        <w:spacing w:after="0" w:line="252" w:lineRule="auto"/>
        <w:tabs>
          <w:tab w:leader="none" w:pos="69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AGENTS OR ANY LENDER MAY OTHERWISE HAVE TO BRING ANY ACTION OR PROCEEDING RELATING TO THIS AGREEMENT AGAINST BORROWER OR ITS PROPERTIES IN THE COURTS OF ANY JURISDICTION.</w:t>
      </w:r>
    </w:p>
    <w:p>
      <w:pPr>
        <w:spacing w:after="0" w:line="197"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7" w:lineRule="exact"/>
        <w:rPr>
          <w:rFonts w:ascii="Times New Roman" w:cs="Times New Roman" w:eastAsia="Times New Roman" w:hAnsi="Times New Roman"/>
          <w:sz w:val="18"/>
          <w:szCs w:val="18"/>
          <w:color w:val="auto"/>
        </w:rPr>
      </w:pPr>
    </w:p>
    <w:p>
      <w:pPr>
        <w:ind w:right="60" w:firstLine="436"/>
        <w:spacing w:after="0" w:line="289" w:lineRule="auto"/>
        <w:tabs>
          <w:tab w:leader="none" w:pos="69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TO THIS AGREEMENT IRREVOCABLY CONSENTS TO SERVICE OF PROCESS BY REGISTERED MAIL, POSTAGE PREPAID, OR BY PERSONAL SERVICE WITHIN OR WITHOUT THE STATE OF NEW YORK. NOTHING IN THIS AGREEMENT WILL AFFECT THE RIGHT OF ANY PARTY TO THIS AGREEMENT TO SERVE PROCESS IN ANY OTHER MANNER PERMITTED BY LAW.</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03" w:name="page104"/>
    <w:bookmarkEnd w:id="103"/>
    <w:p>
      <w:pPr>
        <w:ind w:left="4" w:right="1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WAIVES, TO THE FULLEST EXTENT PERMITTED BY APPLICABLE LAW, ANY RIGHT IT MAY HAVE TO A TRIAL BY JURY IN ANY LEGAL PROCEEDING DIRECTLY OR INDIRECTLY ARISING OUT OF OR RELATING TO THIS AGREEMENT (WHETHER BASED ON CONTRACT, TORT OR ANY OTHER THEORY).</w:t>
      </w:r>
    </w:p>
    <w:p>
      <w:pPr>
        <w:spacing w:after="0" w:line="158"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10.12 </w:t>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Each of the Agents and the Lenders agrees to maintain the confidentiality of the Information (as defined below), except that Information may be disclosed (a) to its Affiliates and to its and its Affiliates’ respective directors, officers, employees, agents (acting in their capacity as such), advisors and other representatives (it being understood that the Persons to whom such disclosure is made will be informed of the confidential nature of such Information and instructed to keep such Information confidential), (b) to the extent requested by any regulatory or self-regulatory authority reasonably purporting to have jurisdiction over it, (c) to the extent required by applicable laws or regulations or by any subpoena or similar legal process, (d) to any other party to this Agreement, (e) in connection with the exercise of any remedies hereunder or under any other Loan Document or any action or proceeding relating to this Agreement or any other Loan Document or the enforcement of rights hereunder or thereunder,</w:t>
      </w:r>
    </w:p>
    <w:p>
      <w:pPr>
        <w:spacing w:after="0" w:line="2" w:lineRule="exact"/>
        <w:rPr>
          <w:sz w:val="20"/>
          <w:szCs w:val="20"/>
          <w:color w:val="auto"/>
        </w:rPr>
      </w:pPr>
    </w:p>
    <w:p>
      <w:pPr>
        <w:ind w:left="4" w:right="300" w:hanging="4"/>
        <w:spacing w:after="0" w:line="265" w:lineRule="auto"/>
        <w:tabs>
          <w:tab w:leader="none" w:pos="22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 agreement containing provisions substantially the same as those of this Section, to (i) any assignee of or Participant in, or any prospective assignee of or Participant in, any of its rights or obligations under this Agreement or (ii) any rating agency to the extent required by it or</w:t>
      </w:r>
    </w:p>
    <w:p>
      <w:pPr>
        <w:jc w:val="both"/>
        <w:ind w:left="4" w:right="540" w:hanging="4"/>
        <w:spacing w:after="0" w:line="265" w:lineRule="auto"/>
        <w:tabs>
          <w:tab w:leader="none" w:pos="31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CUSIP Service Bureau or any similar organization to the extent required by it in connection with this Agreement, (g) with the consent of Borrower, or (h) to the extent such Information (x) becomes publicly available other than as a result of a breach of this Section by any Person or</w:t>
      </w:r>
    </w:p>
    <w:p>
      <w:pPr>
        <w:ind w:left="4" w:right="40" w:hanging="4"/>
        <w:spacing w:after="0" w:line="251"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available to any Agent, any Lender or any of their respective Affiliates on a nonconfidential basis from a source other than Borrower. Prior to disclosing any Information under clause (c) above, the Agent or Lender required to make such disclosure shall make a good faith effort to give Borrower prior notice of such proposed disclosure to permit Borrower to attempt to obtain a protective order or other appropriate injunctive relief.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Borrower or any of its Subsidiaries relating to Borrower or any of its Subsidiaries or any of their respective businesses, other than any such information that is available to any Agent or any Lender on a non-confidential basis prior to disclosure by Borrower or any of its Subsidiaries; provided that, in the case of information received from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64"/>
          </w:cols>
          <w:pgMar w:left="436" w:top="270" w:right="499" w:bottom="1440" w:gutter="0" w:footer="0" w:header="0"/>
        </w:sectPr>
      </w:pPr>
    </w:p>
    <w:bookmarkStart w:id="104" w:name="page105"/>
    <w:bookmarkEnd w:id="104"/>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xml:space="preserve">. It is the intention of the parties hereto to conform strictly to applicable interest, usury and criminal laws and, anything herein to the contrary notwithstanding, the obligations of Borrower to a Lender or any Agent under this Agreement shall be subject to the limitation that payments of interest shall not be required to the extent that receipt thereof would be contrary to provisions of law applicable to such Lender or Agent limiting rates of interest which may be charged or collected by such Lender or Agent. Accordingly, if the transactions contemplated hereby would be illegal, unenforceable, usurious or criminal under laws applicable to a Lender or Agent (including the laws of any jurisdiction whose laws may be mandatorily applicable to such Lender or Agent notwithstanding anything to the contrary in this Agreement or any other Loan Document but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hereof) then, in that event, notwithstanding anything to the contrary in this Agreement or any other Loan Document, it is agreed as follows:</w:t>
      </w:r>
    </w:p>
    <w:p>
      <w:pPr>
        <w:spacing w:after="0" w:line="84" w:lineRule="exact"/>
        <w:rPr>
          <w:sz w:val="20"/>
          <w:szCs w:val="20"/>
          <w:color w:val="auto"/>
        </w:rPr>
      </w:pPr>
    </w:p>
    <w:p>
      <w:pPr>
        <w:ind w:left="1080" w:hanging="221"/>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shall govern and control;</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all consideration which constitutes interest under applicable law that is contracted for, taken, reserved, charged or received under this Agreement, or under any of the other aforesaid agreements or otherwise in connection with this Agreement by such Lender or Agent shall under no circumstances exceed the maximum amount of interest allowed by applicable law (such maximum lawful interest rate, if any, with respect to each Lender and the Agent herein called the “</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and any excess shall be cancelled automatically and if theretofore paid shall be credited to Borrower by such Lender or Agent (or, if such consideration shall have been paid in full, such excess refunded to Borrower);</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agreed to be paid, to such Lender or Agent for the use, forbearance and detention of the indebtedness of Borrower to such Lender or Agent hereunder or under any Loan Document shall, to the extent permitted by laws applicable to such Lender or Agent, as the case may be, be amortized, prorated, allocated and spread throughout the full term of such indebtedness until payment in full so that the actual rate of interest is uniform throughout the full term thereof;</w:t>
      </w:r>
    </w:p>
    <w:p>
      <w:pPr>
        <w:spacing w:after="0" w:line="71" w:lineRule="exact"/>
        <w:rPr>
          <w:rFonts w:ascii="Times New Roman" w:cs="Times New Roman" w:eastAsia="Times New Roman" w:hAnsi="Times New Roman"/>
          <w:sz w:val="18"/>
          <w:szCs w:val="18"/>
          <w:color w:val="auto"/>
        </w:rPr>
      </w:pPr>
    </w:p>
    <w:p>
      <w:pPr>
        <w:ind w:left="440" w:right="80" w:firstLine="419"/>
        <w:spacing w:after="0" w:line="253" w:lineRule="auto"/>
        <w:tabs>
          <w:tab w:leader="none" w:pos="116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interest provided pursuant to this Section or any other clause of this Agreement or any other Loan Document, together with any other fees or compensation payable pursuant to this Agreement or any other Loan Document and deemed interest under laws applicable to such Lender or Agent, exceeds that amount which would have accrued at the Highest Lawful Rate, the amount of interest and any such fees or compensation to accrue to such Lender or Agent pursuant to this Agreement shall be limited, notwithstanding anything to the contrary in this Agreement or any other Loan Document, to that amount which would have accrued at the Highest Lawful Rate, but any subsequent reductions, as applicable, shall not reduce the interest to accrue to such Lender or Agent pursuant to this Agreement below the Highest Lawful Rate until the total amount of interest accrued pursuant to this Agreement or such other Loan Document, as the case may be, and such fees or compensation deemed to be interest equals the amount of interest which would have accrued to such Lender or Agent if a varying rate per annum equal to the interest provided pursuant to any other relevant Section hereof (other than this Section), as applicable, had at all times been in effect, plus the amount of fees which would have been received but for the effect of this Section;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440" w:top="270" w:right="439" w:bottom="1440" w:gutter="0" w:footer="0" w:header="0"/>
        </w:sectPr>
      </w:pPr>
    </w:p>
    <w:bookmarkStart w:id="105" w:name="page106"/>
    <w:bookmarkEnd w:id="105"/>
    <w:p>
      <w:pPr>
        <w:ind w:left="440" w:right="60" w:firstLine="419"/>
        <w:spacing w:after="0" w:line="256" w:lineRule="auto"/>
        <w:tabs>
          <w:tab w:leader="none" w:pos="11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intent that the rate of interest herein shall at all times be lawful, and if the receipt of any funds owing hereunder or under any other agreement related hereto (including any of the other Loan Documents) by such Lender or Agent would cause such Lender to charge Borrower a criminal rate of interest, the Lenders and the Agents agree that they will not require the payment or receipt thereof or a portion thereof which would cause a criminal rate of interest to be charged by such Lender or Agent, as applicable, and if received such affected Lender or Agent will return such funds to Borrower so that the rate of interest paid by Borrower shall not exceed a criminal rate of interest from the date this Agreement was entered into.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that is subject to the USA Patriot Act and the Administrative Agent (for itself and not on behalf of any Lender) hereby notifies Borrower that, pursuant to the requirements of the USA Patriot Act, it is required to obtain, verify and record information that identifies Borrower and the Guarantor, which information includes the name and address of Borrower and the Guarantor and other information that will allow such Lender or the Administrative Agent, as applicable, to identify Borrower and the Guarantor in accordance with the USA Patriot Act.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Agent, each Lender and their Affiliates (collectively, solely for purposes of this paragraph,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may have economic interests that conflict with those of Borrower and/or its Affiliates. Borrower agrees that nothing in the Loan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deemed to create an advisory, fiduciary or agency relationship or fiduciary duty between any Lender, on the one hand, and Borrower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on the other. Borrower acknowledges and agrees that (i) the transactions contemplated by the Loan Documents (including the exercise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and remedies thereunder) are arm’s-length commercial transactions between the Lenders, on the one hand, and Borrower, on the other, and (ii)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transactions contemplated by the Loan Documents, (x) no Lender has assumed an advisory or fiduciary responsibility in favor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Borrower or its Affiliates with respect to the transactions contemplated hereby (or the exercise of rights or remedies with respect thereto) (irrespective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any Lender has advised, is currently advising or will advise Borrower or its Affiliates on other matters) or any other obligation to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the obligations expressly set forth in the Loan Documents and (y) each Agent and Lender is acting solely as principal and not as the agent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of Borrower or its Affiliates. Borrower acknowledges and agrees that it has consulted its own legal and financial advisors to the extent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appropriate and that it is responsible for making its own independent judgment with respect to the transactions contemplated by the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Acknowledgement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106" w:name="page107"/>
    <w:bookmarkEnd w:id="106"/>
    <w:p>
      <w:pPr>
        <w:ind w:right="200" w:firstLine="436"/>
        <w:spacing w:after="0" w:line="282"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10.18 </w:t>
      </w:r>
      <w:r>
        <w:rPr>
          <w:rFonts w:ascii="Times New Roman" w:cs="Times New Roman" w:eastAsia="Times New Roman" w:hAnsi="Times New Roman"/>
          <w:sz w:val="17"/>
          <w:szCs w:val="17"/>
          <w:u w:val="single" w:color="auto"/>
          <w:color w:val="auto"/>
        </w:rPr>
        <w:t>NO ORAL AGREEMENTS</w:t>
      </w:r>
      <w:r>
        <w:rPr>
          <w:rFonts w:ascii="Times New Roman" w:cs="Times New Roman" w:eastAsia="Times New Roman" w:hAnsi="Times New Roman"/>
          <w:sz w:val="17"/>
          <w:szCs w:val="17"/>
          <w:color w:val="auto"/>
        </w:rPr>
        <w:t>. THIS WRITTEN AGREEMENT AND THE OTHER LOAN DOCUMENTS REPRESENT THE FINAL AGREEMENT BETWEEN THE PARTIES AND MAY NOT BE CONTRADICTED BY EVIDENCE OF PRIOR, CONTEMPORANEOUS, OR SUBSEQUENT ORAL AGREEMENTS OF THE PARTIES. THERE ARE NO UNWRITTEN ORAL AGREEMENTS AMONG THE PARTIES.</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BEGIN ON FOLLOWING PAGE]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00"/>
          </w:cols>
          <w:pgMar w:left="440" w:top="270" w:right="559" w:bottom="1440" w:gutter="0" w:footer="0" w:header="0"/>
        </w:sectPr>
      </w:pPr>
    </w:p>
    <w:bookmarkStart w:id="107" w:name="page108"/>
    <w:bookmarkEnd w:id="107"/>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APA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 C.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Ben C. Rodgers</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Treasurer and Midstream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Marketing</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10960"/>
          </w:cols>
          <w:pgMar w:left="440" w:top="270" w:right="499" w:bottom="1440" w:gutter="0" w:footer="0" w:header="0"/>
        </w:sectPr>
      </w:pPr>
    </w:p>
    <w:bookmarkStart w:id="108" w:name="page109"/>
    <w:bookmarkEnd w:id="10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as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Agent and as a Lender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Justin Carter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09" w:name="page110"/>
    <w:bookmarkEnd w:id="10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Co-Syndication Agent and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980"/>
          </w:cols>
          <w:pgMar w:left="1440" w:top="270" w:right="479" w:bottom="1440" w:gutter="0" w:footer="0" w:header="0"/>
        </w:sectPr>
      </w:pPr>
    </w:p>
    <w:bookmarkStart w:id="110" w:name="page111"/>
    <w:bookmarkEnd w:id="11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Co-Syndication Agent and as a Lender</w:t>
      </w:r>
    </w:p>
    <w:p>
      <w:pPr>
        <w:spacing w:after="0" w:line="22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Herrick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Jonathan Herrick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680"/>
          </w:cols>
          <w:pgMar w:left="1440" w:top="270" w:right="779" w:bottom="1440" w:gutter="0" w:footer="0" w:header="0"/>
        </w:sectPr>
      </w:pPr>
    </w:p>
    <w:bookmarkStart w:id="111" w:name="page112"/>
    <w:bookmarkEnd w:id="1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 as a Co-Documentation Agent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Alia Qaddumi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Alia Qaddumi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980"/>
          </w:cols>
          <w:pgMar w:left="1440" w:top="270" w:right="479" w:bottom="1440" w:gutter="0" w:footer="0" w:header="0"/>
        </w:sectPr>
      </w:pPr>
    </w:p>
    <w:bookmarkStart w:id="112" w:name="page113"/>
    <w:bookmarkEnd w:id="1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 as a Co-Documentation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Agent and 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Vernon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Andrew Vernon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900"/>
          </w:cols>
          <w:pgMar w:left="1440" w:top="270" w:right="559" w:bottom="1440" w:gutter="0" w:footer="0" w:header="0"/>
        </w:sectPr>
      </w:pPr>
    </w:p>
    <w:bookmarkStart w:id="113" w:name="page114"/>
    <w:bookmarkEnd w:id="1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HSBC Bank USA, N.A.,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Balaji Rajgopal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Balaji Rajgopal</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14" w:name="page115"/>
    <w:bookmarkEnd w:id="1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MIZUHO BANK, LTD.,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15" w:name="page116"/>
    <w:bookmarkEnd w:id="1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Andrew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Edward Andrew</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16" w:name="page117"/>
    <w:bookmarkEnd w:id="11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 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Evans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Evans Swann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460"/>
          </w:cols>
          <w:pgMar w:left="1440" w:top="270" w:right="999"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Co-Documentation Agent</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Kovarik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John Kovarik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CHINA, NEW YORK BRANCH,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Raymond Qiao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780"/>
          </w:cols>
          <w:pgMar w:left="1440" w:top="270" w:right="679"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Industrial and Commercial Bank of China Limited,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Chan K.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Chan K. Park</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Peichen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Peichen Chen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680"/>
          </w:cols>
          <w:pgMar w:left="1440" w:top="270" w:right="77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Baroda, London Branch,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Swapan Halder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Swapan Halder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Manager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Mashreqbank psc,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Faizan Siddiqui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Faizan Siddiqui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General Manager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 Bank of India, Wholesale Banking Branch Los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Angeles,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Devendra Panwar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Devendra Panwar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and Head (Credit management Cell)</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860"/>
          </w:cols>
          <w:pgMar w:left="1440" w:top="270" w:right="59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 ONE, NATIONAL ASSOCIATION,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Cameron Breitenbach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Cameron Breitenbach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920"/>
          </w:cols>
          <w:pgMar w:left="1440" w:top="270" w:right="53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Brittany Lehr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Brittany Lehr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660"/>
          </w:cols>
          <w:pgMar w:left="1440" w:top="270" w:right="799"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REGIONS BANK, as a Lender</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Cody Chance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Cody Chance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[SIGNATURE PAGE - SENIOR TERM LOAN CREDIT FACILITY]</w:t>
      </w:r>
    </w:p>
    <w:p>
      <w:pPr>
        <w:sectPr>
          <w:pgSz w:w="11900" w:h="16838" w:orient="portrait"/>
          <w:cols w:equalWidth="0" w:num="1">
            <w:col w:w="9019"/>
          </w:cols>
          <w:pgMar w:left="1440" w:top="270" w:right="1440"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AGRICULTURAL BANK OF CHINA NEW YORK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BRANCH, 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7" w:lineRule="exact"/>
        <w:rPr>
          <w:sz w:val="20"/>
          <w:szCs w:val="20"/>
          <w:color w:val="auto"/>
        </w:rPr>
      </w:pPr>
    </w:p>
    <w:p>
      <w:pPr>
        <w:ind w:left="2180" w:firstLine="3438"/>
        <w:spacing w:after="0" w:line="433" w:lineRule="auto"/>
        <w:rPr>
          <w:sz w:val="20"/>
          <w:szCs w:val="20"/>
          <w:color w:val="auto"/>
        </w:rPr>
      </w:pPr>
      <w:r>
        <w:rPr>
          <w:rFonts w:ascii="Times New Roman" w:cs="Times New Roman" w:eastAsia="Times New Roman" w:hAnsi="Times New Roman"/>
          <w:sz w:val="18"/>
          <w:szCs w:val="18"/>
          <w:color w:val="auto"/>
        </w:rPr>
        <w:t>Title: SVP &amp; Head of Corporate Banking Department [SIGNATURE PAGE - TERM LOAN CREDIT AGREEMENT]</w:t>
      </w:r>
    </w:p>
    <w:sectPr>
      <w:pgSz w:w="11900" w:h="16838" w:orient="portrait"/>
      <w:cols w:equalWidth="0" w:num="1">
        <w:col w:w="9640"/>
      </w:cols>
      <w:pgMar w:left="1440" w:top="27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lowerRoman"/>
      <w:start w:val="1"/>
    </w:lvl>
  </w:abstractNum>
  <w:abstractNum w:abstractNumId="4">
    <w:nsid w:val="2F305DEF"/>
    <w:multiLevelType w:val="hybridMultilevel"/>
    <w:lvl w:ilvl="0">
      <w:lvlJc w:val="left"/>
      <w:lvlText w:val="(%1)"/>
      <w:numFmt w:val="lowerRoman"/>
      <w:start w:val="4"/>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1)"/>
      <w:numFmt w:val="lowerRoman"/>
      <w:start w:val="3"/>
    </w:lvl>
  </w:abstractNum>
  <w:abstractNum w:abstractNumId="8">
    <w:nsid w:val="1F48EAA1"/>
    <w:multiLevelType w:val="hybridMultilevel"/>
    <w:lvl w:ilvl="0">
      <w:lvlJc w:val="left"/>
      <w:lvlText w:val="(%1)"/>
      <w:numFmt w:val="lowerLetter"/>
      <w:start w:val="1"/>
    </w:lvl>
  </w:abstractNum>
  <w:abstractNum w:abstractNumId="9">
    <w:nsid w:val="1381823A"/>
    <w:multiLevelType w:val="hybridMultilevel"/>
    <w:lvl w:ilvl="0">
      <w:lvlJc w:val="left"/>
      <w:lvlText w:val="(%1)"/>
      <w:numFmt w:val="lowerLetter"/>
      <w:start w:val="1"/>
    </w:lvl>
  </w:abstractNum>
  <w:abstractNum w:abstractNumId="10">
    <w:nsid w:val="5DB70AE5"/>
    <w:multiLevelType w:val="hybridMultilevel"/>
    <w:lvl w:ilvl="0">
      <w:lvlJc w:val="left"/>
      <w:lvlText w:val="(%1)"/>
      <w:numFmt w:val="lowerLetter"/>
      <w:start w:val="6"/>
    </w:lvl>
  </w:abstractNum>
  <w:abstractNum w:abstractNumId="11">
    <w:nsid w:val="100F8FCA"/>
    <w:multiLevelType w:val="hybridMultilevel"/>
    <w:lvl w:ilvl="0">
      <w:lvlJc w:val="left"/>
      <w:lvlText w:val="(%1)"/>
      <w:numFmt w:val="lowerLetter"/>
      <w:start w:val="1"/>
    </w:lvl>
  </w:abstractNum>
  <w:abstractNum w:abstractNumId="12">
    <w:nsid w:val="6590700B"/>
    <w:multiLevelType w:val="hybridMultilevel"/>
    <w:lvl w:ilvl="0">
      <w:lvlJc w:val="left"/>
      <w:lvlText w:val="(%1)"/>
      <w:numFmt w:val="lowerLetter"/>
      <w:start w:val="3"/>
    </w:lvl>
  </w:abstractNum>
  <w:abstractNum w:abstractNumId="13">
    <w:nsid w:val="15014ACB"/>
    <w:multiLevelType w:val="hybridMultilevel"/>
    <w:lvl w:ilvl="0">
      <w:lvlJc w:val="left"/>
      <w:lvlText w:val="(%1)"/>
      <w:numFmt w:val="lowerLetter"/>
      <w:start w:val="3"/>
    </w:lvl>
  </w:abstractNum>
  <w:abstractNum w:abstractNumId="14">
    <w:nsid w:val="5F5E7FD0"/>
    <w:multiLevelType w:val="hybridMultilevel"/>
    <w:lvl w:ilvl="0">
      <w:lvlJc w:val="left"/>
      <w:lvlText w:val="(%1)"/>
      <w:numFmt w:val="lowerRoman"/>
      <w:start w:val="2"/>
    </w:lvl>
  </w:abstractNum>
  <w:abstractNum w:abstractNumId="15">
    <w:nsid w:val="98A3148"/>
    <w:multiLevelType w:val="hybridMultilevel"/>
    <w:lvl w:ilvl="0">
      <w:lvlJc w:val="left"/>
      <w:lvlText w:val="(%1)"/>
      <w:numFmt w:val="decimal"/>
      <w:start w:val="2"/>
    </w:lvl>
  </w:abstractNum>
  <w:abstractNum w:abstractNumId="16">
    <w:nsid w:val="799D0247"/>
    <w:multiLevelType w:val="hybridMultilevel"/>
    <w:lvl w:ilvl="0">
      <w:lvlJc w:val="left"/>
      <w:lvlText w:val="(%1)"/>
      <w:numFmt w:val="decimal"/>
      <w:start w:val="1"/>
    </w:lvl>
  </w:abstractNum>
  <w:abstractNum w:abstractNumId="17">
    <w:nsid w:val="6B94764"/>
    <w:multiLevelType w:val="hybridMultilevel"/>
    <w:lvl w:ilvl="0">
      <w:lvlJc w:val="left"/>
      <w:lvlText w:val="(%1)"/>
      <w:numFmt w:val="decimal"/>
      <w:start w:val="1"/>
    </w:lvl>
  </w:abstractNum>
  <w:abstractNum w:abstractNumId="18">
    <w:nsid w:val="42C296BD"/>
    <w:multiLevelType w:val="hybridMultilevel"/>
    <w:lvl w:ilvl="0">
      <w:lvlJc w:val="left"/>
      <w:lvlText w:val="(%1)"/>
      <w:numFmt w:val="decimal"/>
      <w:start w:val="3"/>
    </w:lvl>
  </w:abstractNum>
  <w:abstractNum w:abstractNumId="19">
    <w:nsid w:val="168E121F"/>
    <w:multiLevelType w:val="hybridMultilevel"/>
    <w:lvl w:ilvl="0">
      <w:lvlJc w:val="left"/>
      <w:lvlText w:val="(%1)"/>
      <w:numFmt w:val="decimal"/>
      <w:start w:val="3"/>
    </w:lvl>
  </w:abstractNum>
  <w:abstractNum w:abstractNumId="20">
    <w:nsid w:val="1EBA5D23"/>
    <w:multiLevelType w:val="hybridMultilevel"/>
    <w:lvl w:ilvl="0">
      <w:lvlJc w:val="left"/>
      <w:lvlText w:val="(%1)"/>
      <w:numFmt w:val="lowerLetter"/>
      <w:start w:val="2"/>
    </w:lvl>
  </w:abstractNum>
  <w:abstractNum w:abstractNumId="21">
    <w:nsid w:val="661E3F1E"/>
    <w:multiLevelType w:val="hybridMultilevel"/>
    <w:lvl w:ilvl="0">
      <w:lvlJc w:val="left"/>
      <w:lvlText w:val="(%1)"/>
      <w:numFmt w:val="decimal"/>
      <w:start w:val="5"/>
    </w:lvl>
  </w:abstractNum>
  <w:abstractNum w:abstractNumId="22">
    <w:nsid w:val="5DC79EA8"/>
    <w:multiLevelType w:val="hybridMultilevel"/>
    <w:lvl w:ilvl="0">
      <w:lvlJc w:val="left"/>
      <w:lvlText w:val="(%1)"/>
      <w:numFmt w:val="lowerLetter"/>
      <w:start w:val="1"/>
    </w:lvl>
  </w:abstractNum>
  <w:abstractNum w:abstractNumId="23">
    <w:nsid w:val="540A471C"/>
    <w:multiLevelType w:val="hybridMultilevel"/>
    <w:lvl w:ilvl="0">
      <w:lvlJc w:val="left"/>
      <w:lvlText w:val="(%1)"/>
      <w:numFmt w:val="lowerLetter"/>
      <w:start w:val="3"/>
    </w:lvl>
  </w:abstractNum>
  <w:abstractNum w:abstractNumId="24">
    <w:nsid w:val="7BD3EE7B"/>
    <w:multiLevelType w:val="hybridMultilevel"/>
    <w:lvl w:ilvl="0">
      <w:lvlJc w:val="left"/>
      <w:lvlText w:val="(%1)"/>
      <w:numFmt w:val="lowerRoman"/>
      <w:start w:val="1"/>
    </w:lvl>
  </w:abstractNum>
  <w:abstractNum w:abstractNumId="25">
    <w:nsid w:val="51D9C564"/>
    <w:multiLevelType w:val="hybridMultilevel"/>
    <w:lvl w:ilvl="0">
      <w:lvlJc w:val="left"/>
      <w:lvlText w:val="(%1)"/>
      <w:numFmt w:val="lowerLetter"/>
      <w:start w:val="1"/>
    </w:lvl>
  </w:abstractNum>
  <w:abstractNum w:abstractNumId="26">
    <w:nsid w:val="613EFDC5"/>
    <w:multiLevelType w:val="hybridMultilevel"/>
    <w:lvl w:ilvl="0">
      <w:lvlJc w:val="left"/>
      <w:lvlText w:val="%1"/>
      <w:numFmt w:val="decimal"/>
      <w:start w:val="1"/>
    </w:lvl>
    <w:lvl w:ilvl="1">
      <w:lvlJc w:val="left"/>
      <w:lvlText w:val="(%2)"/>
      <w:numFmt w:val="lowerLetter"/>
      <w:start w:val="1"/>
    </w:lvl>
  </w:abstractNum>
  <w:abstractNum w:abstractNumId="27">
    <w:nsid w:val="BF72B14"/>
    <w:multiLevelType w:val="hybridMultilevel"/>
    <w:lvl w:ilvl="0">
      <w:lvlJc w:val="left"/>
      <w:lvlText w:val="(%1)"/>
      <w:numFmt w:val="decimal"/>
      <w:start w:val="1"/>
    </w:lvl>
    <w:lvl w:ilvl="1">
      <w:lvlJc w:val="left"/>
      <w:lvlText w:val="(%2)"/>
      <w:numFmt w:val="lowerLetter"/>
      <w:start w:val="2"/>
    </w:lvl>
  </w:abstractNum>
  <w:abstractNum w:abstractNumId="28">
    <w:nsid w:val="11447B73"/>
    <w:multiLevelType w:val="hybridMultilevel"/>
    <w:lvl w:ilvl="0">
      <w:lvlJc w:val="left"/>
      <w:lvlText w:val="(%1)"/>
      <w:numFmt w:val="lowerLetter"/>
      <w:start w:val="3"/>
    </w:lvl>
    <w:lvl w:ilvl="1">
      <w:lvlJc w:val="left"/>
      <w:lvlText w:val="(%2)"/>
      <w:numFmt w:val="lowerRoman"/>
      <w:start w:val="1"/>
    </w:lvl>
  </w:abstractNum>
  <w:abstractNum w:abstractNumId="29">
    <w:nsid w:val="42963E5A"/>
    <w:multiLevelType w:val="hybridMultilevel"/>
    <w:lvl w:ilvl="0">
      <w:lvlJc w:val="left"/>
      <w:lvlText w:val="(%1)"/>
      <w:numFmt w:val="lowerLetter"/>
      <w:start w:val="4"/>
    </w:lvl>
  </w:abstractNum>
  <w:abstractNum w:abstractNumId="30">
    <w:nsid w:val="A0382C5"/>
    <w:multiLevelType w:val="hybridMultilevel"/>
    <w:lvl w:ilvl="0">
      <w:lvlJc w:val="left"/>
      <w:lvlText w:val="(%1)"/>
      <w:numFmt w:val="lowerLetter"/>
      <w:start w:val="1"/>
    </w:lvl>
  </w:abstractNum>
  <w:abstractNum w:abstractNumId="31">
    <w:nsid w:val="8F2B15E"/>
    <w:multiLevelType w:val="hybridMultilevel"/>
    <w:lvl w:ilvl="0">
      <w:lvlJc w:val="left"/>
      <w:lvlText w:val="%1"/>
      <w:numFmt w:val="decimal"/>
      <w:start w:val="1"/>
    </w:lvl>
    <w:lvl w:ilvl="1">
      <w:lvlJc w:val="left"/>
      <w:lvlText w:val="(%2)"/>
      <w:numFmt w:val="lowerLetter"/>
      <w:start w:val="2"/>
    </w:lvl>
  </w:abstractNum>
  <w:abstractNum w:abstractNumId="32">
    <w:nsid w:val="1A32234B"/>
    <w:multiLevelType w:val="hybridMultilevel"/>
    <w:lvl w:ilvl="0">
      <w:lvlJc w:val="left"/>
      <w:lvlText w:val="(%1)"/>
      <w:numFmt w:val="decimal"/>
      <w:start w:val="2"/>
    </w:lvl>
    <w:lvl w:ilvl="1">
      <w:lvlJc w:val="left"/>
      <w:lvlText w:val="%2"/>
      <w:numFmt w:val="lowerLetter"/>
      <w:start w:val="1"/>
    </w:lvl>
  </w:abstractNum>
  <w:abstractNum w:abstractNumId="33">
    <w:nsid w:val="3B0FD379"/>
    <w:multiLevelType w:val="hybridMultilevel"/>
    <w:lvl w:ilvl="0">
      <w:lvlJc w:val="left"/>
      <w:lvlText w:val="(%1)"/>
      <w:numFmt w:val="lowerLetter"/>
      <w:start w:val="1"/>
    </w:lvl>
  </w:abstractNum>
  <w:abstractNum w:abstractNumId="34">
    <w:nsid w:val="68EB2F63"/>
    <w:multiLevelType w:val="hybridMultilevel"/>
    <w:lvl w:ilvl="0">
      <w:lvlJc w:val="left"/>
      <w:lvlText w:val="(%1)"/>
      <w:numFmt w:val="lowerLetter"/>
      <w:start w:val="4"/>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Letter"/>
      <w:start w:val="1"/>
    </w:lvl>
  </w:abstractNum>
  <w:abstractNum w:abstractNumId="37">
    <w:nsid w:val="6A5EE64"/>
    <w:multiLevelType w:val="hybridMultilevel"/>
    <w:lvl w:ilvl="0">
      <w:lvlJc w:val="left"/>
      <w:lvlText w:val="(%1)"/>
      <w:numFmt w:val="lowerLetter"/>
      <w:start w:val="2"/>
    </w:lvl>
  </w:abstractNum>
  <w:abstractNum w:abstractNumId="38">
    <w:nsid w:val="14330624"/>
    <w:multiLevelType w:val="hybridMultilevel"/>
    <w:lvl w:ilvl="0">
      <w:lvlJc w:val="left"/>
      <w:lvlText w:val="%1"/>
      <w:numFmt w:val="lowerLetter"/>
      <w:start w:val="1"/>
    </w:lvl>
    <w:lvl w:ilvl="1">
      <w:lvlJc w:val="left"/>
      <w:lvlText w:val="(%2)"/>
      <w:numFmt w:val="lowerLetter"/>
      <w:start w:val="1"/>
    </w:lvl>
  </w:abstractNum>
  <w:abstractNum w:abstractNumId="39">
    <w:nsid w:val="7FFFCA11"/>
    <w:multiLevelType w:val="hybridMultilevel"/>
    <w:lvl w:ilvl="0">
      <w:lvlJc w:val="left"/>
      <w:lvlText w:val="(%1)"/>
      <w:numFmt w:val="lowerLetter"/>
      <w:start w:val="61"/>
    </w:lvl>
    <w:lvl w:ilvl="1">
      <w:lvlJc w:val="left"/>
      <w:lvlText w:val="(%2)"/>
      <w:numFmt w:val="lowerLetter"/>
      <w:start w:val="5"/>
    </w:lvl>
  </w:abstractNum>
  <w:abstractNum w:abstractNumId="40">
    <w:nsid w:val="1A27709E"/>
    <w:multiLevelType w:val="hybridMultilevel"/>
    <w:lvl w:ilvl="0">
      <w:lvlJc w:val="left"/>
      <w:lvlText w:val="(%1)"/>
      <w:numFmt w:val="lowerLetter"/>
      <w:start w:val="1"/>
    </w:lvl>
    <w:lvl w:ilvl="1">
      <w:lvlJc w:val="left"/>
      <w:lvlText w:val="(%2)"/>
      <w:numFmt w:val="lowerRoman"/>
      <w:start w:val="1"/>
    </w:lvl>
  </w:abstractNum>
  <w:abstractNum w:abstractNumId="41">
    <w:nsid w:val="71EA1109"/>
    <w:multiLevelType w:val="hybridMultilevel"/>
    <w:lvl w:ilvl="0">
      <w:lvlJc w:val="left"/>
      <w:lvlText w:val="(%1)"/>
      <w:numFmt w:val="lowerLetter"/>
      <w:start w:val="25"/>
    </w:lvl>
  </w:abstractNum>
  <w:abstractNum w:abstractNumId="42">
    <w:nsid w:val="100F59DC"/>
    <w:multiLevelType w:val="hybridMultilevel"/>
    <w:lvl w:ilvl="0">
      <w:lvlJc w:val="left"/>
      <w:lvlText w:val="(%1)"/>
      <w:numFmt w:val="lowerLetter"/>
      <w:start w:val="2"/>
    </w:lvl>
  </w:abstractNum>
  <w:abstractNum w:abstractNumId="43">
    <w:nsid w:val="7FB7E0AA"/>
    <w:multiLevelType w:val="hybridMultilevel"/>
    <w:lvl w:ilvl="0">
      <w:lvlJc w:val="left"/>
      <w:lvlText w:val="(%1)"/>
      <w:numFmt w:val="lowerLetter"/>
      <w:start w:val="6"/>
    </w:lvl>
  </w:abstractNum>
  <w:abstractNum w:abstractNumId="44">
    <w:nsid w:val="6EB5BD4"/>
    <w:multiLevelType w:val="hybridMultilevel"/>
    <w:lvl w:ilvl="0">
      <w:lvlJc w:val="left"/>
      <w:lvlText w:val="(%1)"/>
      <w:numFmt w:val="lowerLetter"/>
      <w:start w:val="1"/>
    </w:lvl>
    <w:lvl w:ilvl="1">
      <w:lvlJc w:val="left"/>
      <w:lvlText w:val="(%2)"/>
      <w:numFmt w:val="lowerRoman"/>
      <w:start w:val="1"/>
    </w:lvl>
  </w:abstractNum>
  <w:abstractNum w:abstractNumId="45">
    <w:nsid w:val="6F6DD9AC"/>
    <w:multiLevelType w:val="hybridMultilevel"/>
    <w:lvl w:ilvl="0">
      <w:lvlJc w:val="left"/>
      <w:lvlText w:val="(%1)"/>
      <w:numFmt w:val="lowerLetter"/>
      <w:start w:val="2"/>
    </w:lvl>
  </w:abstractNum>
  <w:abstractNum w:abstractNumId="46">
    <w:nsid w:val="94211F2"/>
    <w:multiLevelType w:val="hybridMultilevel"/>
    <w:lvl w:ilvl="0">
      <w:lvlJc w:val="left"/>
      <w:lvlText w:val="(%1)"/>
      <w:numFmt w:val="lowerLetter"/>
      <w:start w:val="1"/>
    </w:lvl>
  </w:abstractNum>
  <w:abstractNum w:abstractNumId="47">
    <w:nsid w:val="885E1B"/>
    <w:multiLevelType w:val="hybridMultilevel"/>
    <w:lvl w:ilvl="0">
      <w:lvlJc w:val="left"/>
      <w:lvlText w:val="(%1)"/>
      <w:numFmt w:val="lowerLetter"/>
      <w:start w:val="2"/>
    </w:lvl>
  </w:abstractNum>
  <w:abstractNum w:abstractNumId="48">
    <w:nsid w:val="76272110"/>
    <w:multiLevelType w:val="hybridMultilevel"/>
    <w:lvl w:ilvl="0">
      <w:lvlJc w:val="left"/>
      <w:lvlText w:val="(%1)"/>
      <w:numFmt w:val="lowerLetter"/>
      <w:start w:val="4"/>
    </w:lvl>
  </w:abstractNum>
  <w:abstractNum w:abstractNumId="49">
    <w:nsid w:val="4C04A8A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0">
    <w:nsid w:val="1716703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51">
    <w:nsid w:val="14E17E33"/>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4"/>
    </w:lvl>
  </w:abstractNum>
  <w:abstractNum w:abstractNumId="52">
    <w:nsid w:val="3222E7CD"/>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53">
    <w:nsid w:val="74DE0EE3"/>
    <w:multiLevelType w:val="hybridMultilevel"/>
    <w:lvl w:ilvl="0">
      <w:lvlJc w:val="left"/>
      <w:lvlText w:val="(%1)"/>
      <w:numFmt w:val="lowerLetter"/>
      <w:start w:val="6"/>
    </w:lvl>
  </w:abstractNum>
  <w:abstractNum w:abstractNumId="54">
    <w:nsid w:val="68EBC550"/>
    <w:multiLevelType w:val="hybridMultilevel"/>
    <w:lvl w:ilvl="0">
      <w:lvlJc w:val="left"/>
      <w:lvlText w:val="(%1)"/>
      <w:numFmt w:val="lowerLetter"/>
      <w:start w:val="1"/>
    </w:lvl>
  </w:abstractNum>
  <w:abstractNum w:abstractNumId="55">
    <w:nsid w:val="2DF6D648"/>
    <w:multiLevelType w:val="hybridMultilevel"/>
    <w:lvl w:ilvl="0">
      <w:lvlJc w:val="left"/>
      <w:lvlText w:val="(%1)"/>
      <w:numFmt w:val="lowerLetter"/>
      <w:start w:val="2"/>
    </w:lvl>
  </w:abstractNum>
  <w:abstractNum w:abstractNumId="56">
    <w:nsid w:val="46B7D447"/>
    <w:multiLevelType w:val="hybridMultilevel"/>
    <w:lvl w:ilvl="0">
      <w:lvlJc w:val="left"/>
      <w:lvlText w:val="%1"/>
      <w:numFmt w:val="lowerLetter"/>
      <w:start w:val="1"/>
    </w:lvl>
    <w:lvl w:ilvl="1">
      <w:lvlJc w:val="left"/>
      <w:lvlText w:val="(%2)"/>
      <w:numFmt w:val="lowerLetter"/>
      <w:start w:val="5"/>
    </w:lvl>
  </w:abstractNum>
  <w:abstractNum w:abstractNumId="57">
    <w:nsid w:val="4A2AC315"/>
    <w:multiLevelType w:val="hybridMultilevel"/>
    <w:lvl w:ilvl="0">
      <w:lvlJc w:val="left"/>
      <w:lvlText w:val="(%1)"/>
      <w:numFmt w:val="lowerLetter"/>
      <w:start w:val="24"/>
    </w:lvl>
    <w:lvl w:ilvl="1">
      <w:lvlJc w:val="left"/>
      <w:lvlText w:val="%2"/>
      <w:numFmt w:val="lowerLetter"/>
      <w:start w:val="1"/>
    </w:lvl>
  </w:abstractNum>
  <w:abstractNum w:abstractNumId="58">
    <w:nsid w:val="39EE015C"/>
    <w:multiLevelType w:val="hybridMultilevel"/>
    <w:lvl w:ilvl="0">
      <w:lvlJc w:val="left"/>
      <w:lvlText w:val="(%1)"/>
      <w:numFmt w:val="lowerLetter"/>
      <w:start w:val="1"/>
    </w:lvl>
  </w:abstractNum>
  <w:abstractNum w:abstractNumId="59">
    <w:nsid w:val="57FC4FBB"/>
    <w:multiLevelType w:val="hybridMultilevel"/>
    <w:lvl w:ilvl="0">
      <w:lvlJc w:val="left"/>
      <w:lvlText w:val="(%1)"/>
      <w:numFmt w:val="lowerLetter"/>
      <w:start w:val="1"/>
    </w:lvl>
  </w:abstractNum>
  <w:abstractNum w:abstractNumId="60">
    <w:nsid w:val="CC1016F"/>
    <w:multiLevelType w:val="hybridMultilevel"/>
    <w:lvl w:ilvl="0">
      <w:lvlJc w:val="left"/>
      <w:lvlText w:val="(%1)"/>
      <w:numFmt w:val="lowerLetter"/>
      <w:start w:val="3"/>
    </w:lvl>
  </w:abstractNum>
  <w:abstractNum w:abstractNumId="61">
    <w:nsid w:val="43F18422"/>
    <w:multiLevelType w:val="hybridMultilevel"/>
    <w:lvl w:ilvl="0">
      <w:lvlJc w:val="left"/>
      <w:lvlText w:val="(%1)"/>
      <w:numFmt w:val="lowerRoman"/>
      <w:start w:val="4"/>
    </w:lvl>
  </w:abstractNum>
  <w:abstractNum w:abstractNumId="62">
    <w:nsid w:val="60EF0119"/>
    <w:multiLevelType w:val="hybridMultilevel"/>
    <w:lvl w:ilvl="0">
      <w:lvlJc w:val="left"/>
      <w:lvlText w:val="(%1)"/>
      <w:numFmt w:val="lowerLetter"/>
      <w:start w:val="1"/>
    </w:lvl>
  </w:abstractNum>
  <w:abstractNum w:abstractNumId="63">
    <w:nsid w:val="26F324BA"/>
    <w:multiLevelType w:val="hybridMultilevel"/>
    <w:lvl w:ilvl="0">
      <w:lvlJc w:val="left"/>
      <w:lvlText w:val="(%1)"/>
      <w:numFmt w:val="lowerLetter"/>
      <w:start w:val="2"/>
    </w:lvl>
  </w:abstractNum>
  <w:abstractNum w:abstractNumId="64">
    <w:nsid w:val="7F01579B"/>
    <w:multiLevelType w:val="hybridMultilevel"/>
    <w:lvl w:ilvl="0">
      <w:lvlJc w:val="left"/>
      <w:lvlText w:val="(%1)"/>
      <w:numFmt w:val="lowerLetter"/>
      <w:start w:val="7"/>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lowerLetter"/>
      <w:start w:val="5"/>
    </w:lvl>
  </w:abstractNum>
  <w:abstractNum w:abstractNumId="67">
    <w:nsid w:val="5FB8370B"/>
    <w:multiLevelType w:val="hybridMultilevel"/>
    <w:lvl w:ilvl="0">
      <w:lvlJc w:val="left"/>
      <w:lvlText w:val="(%1)"/>
      <w:numFmt w:val="lowerLetter"/>
      <w:start w:val="9"/>
    </w:lvl>
  </w:abstractNum>
  <w:abstractNum w:abstractNumId="68">
    <w:nsid w:val="50801EE1"/>
    <w:multiLevelType w:val="hybridMultilevel"/>
    <w:lvl w:ilvl="0">
      <w:lvlJc w:val="left"/>
      <w:lvlText w:val="(%1)"/>
      <w:numFmt w:val="lowerLetter"/>
      <w:start w:val="1"/>
    </w:lvl>
  </w:abstractNum>
  <w:abstractNum w:abstractNumId="69">
    <w:nsid w:val="488AC1A"/>
    <w:multiLevelType w:val="hybridMultilevel"/>
    <w:lvl w:ilvl="0">
      <w:lvlJc w:val="left"/>
      <w:lvlText w:val="(%1)"/>
      <w:numFmt w:val="lowerLetter"/>
      <w:start w:val="6"/>
    </w:lvl>
  </w:abstractNum>
  <w:abstractNum w:abstractNumId="70">
    <w:nsid w:val="5FB8011C"/>
    <w:multiLevelType w:val="hybridMultilevel"/>
    <w:lvl w:ilvl="0">
      <w:lvlJc w:val="left"/>
      <w:lvlText w:val="(%1)"/>
      <w:numFmt w:val="lowerRoman"/>
      <w:start w:val="2"/>
    </w:lvl>
  </w:abstractNum>
  <w:abstractNum w:abstractNumId="71">
    <w:nsid w:val="6AA78F7F"/>
    <w:multiLevelType w:val="hybridMultilevel"/>
    <w:lvl w:ilvl="0">
      <w:lvlJc w:val="left"/>
      <w:lvlText w:val="(%1)"/>
      <w:numFmt w:val="lowerRoman"/>
      <w:start w:val="1"/>
    </w:lvl>
  </w:abstractNum>
  <w:abstractNum w:abstractNumId="72">
    <w:nsid w:val="7672BD23"/>
    <w:multiLevelType w:val="hybridMultilevel"/>
    <w:lvl w:ilvl="0">
      <w:lvlJc w:val="left"/>
      <w:lvlText w:val="(%1)"/>
      <w:numFmt w:val="lowerRoman"/>
      <w:start w:val="7"/>
    </w:lvl>
  </w:abstractNum>
  <w:abstractNum w:abstractNumId="73">
    <w:nsid w:val="6FC75AF8"/>
    <w:multiLevelType w:val="hybridMultilevel"/>
    <w:lvl w:ilvl="0">
      <w:lvlJc w:val="left"/>
      <w:lvlText w:val="(%1)"/>
      <w:numFmt w:val="lowerLetter"/>
      <w:start w:val="1"/>
    </w:lvl>
  </w:abstractNum>
  <w:abstractNum w:abstractNumId="74">
    <w:nsid w:val="6A5F7029"/>
    <w:multiLevelType w:val="hybridMultilevel"/>
    <w:lvl w:ilvl="0">
      <w:lvlJc w:val="left"/>
      <w:lvlText w:val="(%1)"/>
      <w:numFmt w:val="lowerLetter"/>
      <w:start w:val="3"/>
    </w:lvl>
  </w:abstractNum>
  <w:abstractNum w:abstractNumId="75">
    <w:nsid w:val="7D5E18F8"/>
    <w:multiLevelType w:val="hybridMultilevel"/>
    <w:lvl w:ilvl="0">
      <w:lvlJc w:val="left"/>
      <w:lvlText w:val="(%1)"/>
      <w:numFmt w:val="lowerLetter"/>
      <w:start w:val="8"/>
    </w:lvl>
  </w:abstractNum>
  <w:abstractNum w:abstractNumId="76">
    <w:nsid w:val="5F3534A4"/>
    <w:multiLevelType w:val="hybridMultilevel"/>
    <w:lvl w:ilvl="0">
      <w:lvlJc w:val="left"/>
      <w:lvlText w:val="(%1)"/>
      <w:numFmt w:val="lowerLetter"/>
      <w:start w:val="1"/>
    </w:lvl>
  </w:abstractNum>
  <w:abstractNum w:abstractNumId="77">
    <w:nsid w:val="73A1821B"/>
    <w:multiLevelType w:val="hybridMultilevel"/>
    <w:lvl w:ilvl="0">
      <w:lvlJc w:val="left"/>
      <w:lvlText w:val="(%1)"/>
      <w:numFmt w:val="lowerLetter"/>
      <w:start w:val="1"/>
    </w:lvl>
  </w:abstractNum>
  <w:abstractNum w:abstractNumId="78">
    <w:nsid w:val="7DE67713"/>
    <w:multiLevelType w:val="hybridMultilevel"/>
    <w:lvl w:ilvl="0">
      <w:lvlJc w:val="left"/>
      <w:lvlText w:val="(%1)"/>
      <w:numFmt w:val="lowerRoman"/>
      <w:start w:val="1"/>
    </w:lvl>
  </w:abstractNum>
  <w:abstractNum w:abstractNumId="79">
    <w:nsid w:val="555C55B5"/>
    <w:multiLevelType w:val="hybridMultilevel"/>
    <w:lvl w:ilvl="0">
      <w:lvlJc w:val="left"/>
      <w:lvlText w:val="(%1)"/>
      <w:numFmt w:val="lowerRoman"/>
      <w:start w:val="4"/>
    </w:lvl>
  </w:abstractNum>
  <w:abstractNum w:abstractNumId="80">
    <w:nsid w:val="3FA62ACA"/>
    <w:multiLevelType w:val="hybridMultilevel"/>
    <w:lvl w:ilvl="0">
      <w:lvlJc w:val="left"/>
      <w:lvlText w:val="(%1)"/>
      <w:numFmt w:val="lowerLetter"/>
      <w:start w:val="1"/>
    </w:lvl>
  </w:abstractNum>
  <w:abstractNum w:abstractNumId="81">
    <w:nsid w:val="14FCE74E"/>
    <w:multiLevelType w:val="hybridMultilevel"/>
    <w:lvl w:ilvl="0">
      <w:lvlJc w:val="left"/>
      <w:lvlText w:val="(%1)"/>
      <w:numFmt w:val="lowerLetter"/>
      <w:start w:val="3"/>
    </w:lvl>
    <w:lvl w:ilvl="1">
      <w:lvlJc w:val="left"/>
      <w:lvlText w:val="(%2)"/>
      <w:numFmt w:val="lowerRoman"/>
      <w:start w:val="1"/>
    </w:lvl>
  </w:abstractNum>
  <w:abstractNum w:abstractNumId="82">
    <w:nsid w:val="6A3DD3E8"/>
    <w:multiLevelType w:val="hybridMultilevel"/>
    <w:lvl w:ilvl="0">
      <w:lvlJc w:val="left"/>
      <w:lvlText w:val="(%1)"/>
      <w:numFmt w:val="lowerLetter"/>
      <w:start w:val="5"/>
    </w:lvl>
    <w:lvl w:ilvl="1">
      <w:lvlJc w:val="left"/>
      <w:lvlText w:val="(%2)"/>
      <w:numFmt w:val="lowerRoman"/>
      <w:start w:val="1"/>
    </w:lvl>
  </w:abstractNum>
  <w:abstractNum w:abstractNumId="83">
    <w:nsid w:val="71C91298"/>
    <w:multiLevelType w:val="hybridMultilevel"/>
    <w:lvl w:ilvl="0">
      <w:lvlJc w:val="left"/>
      <w:lvlText w:val="(%1)"/>
      <w:numFmt w:val="lowerLetter"/>
      <w:start w:val="7"/>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lowerLetter"/>
      <w:start w:val="2"/>
    </w:lvl>
  </w:abstractNum>
  <w:abstractNum w:abstractNumId="86">
    <w:nsid w:val="1FBFE8E0"/>
    <w:multiLevelType w:val="hybridMultilevel"/>
    <w:lvl w:ilvl="0">
      <w:lvlJc w:val="left"/>
      <w:lvlText w:val="(%1)"/>
      <w:numFmt w:val="lowerLetter"/>
      <w:start w:val="1"/>
    </w:lvl>
  </w:abstractNum>
  <w:abstractNum w:abstractNumId="87">
    <w:nsid w:val="5092CA79"/>
    <w:multiLevelType w:val="hybridMultilevel"/>
    <w:lvl w:ilvl="0">
      <w:lvlJc w:val="left"/>
      <w:lvlText w:val="%1"/>
      <w:numFmt w:val="lowerLetter"/>
      <w:start w:val="1"/>
    </w:lvl>
    <w:lvl w:ilvl="1">
      <w:lvlJc w:val="left"/>
      <w:lvlText w:val="(%2)"/>
      <w:numFmt w:val="lowerLetter"/>
      <w:start w:val="4"/>
    </w:lvl>
  </w:abstractNum>
  <w:abstractNum w:abstractNumId="88">
    <w:nsid w:val="1D545C4D"/>
    <w:multiLevelType w:val="hybridMultilevel"/>
    <w:lvl w:ilvl="0">
      <w:lvlJc w:val="left"/>
      <w:lvlText w:val="(%1)"/>
      <w:numFmt w:val="lowerLetter"/>
      <w:start w:val="9"/>
    </w:lvl>
    <w:lvl w:ilvl="1">
      <w:lvlJc w:val="left"/>
      <w:lvlText w:val="(%2)"/>
      <w:numFmt w:val="lowerLetter"/>
      <w:start w:val="5"/>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2"/>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Roman"/>
      <w:start w:val="1"/>
    </w:lvl>
  </w:abstractNum>
  <w:abstractNum w:abstractNumId="93">
    <w:nsid w:val="97E1B4E"/>
    <w:multiLevelType w:val="hybridMultilevel"/>
    <w:lvl w:ilvl="0">
      <w:lvlJc w:val="left"/>
      <w:lvlText w:val="(%1)"/>
      <w:numFmt w:val="lowerLetter"/>
      <w:start w:val="1"/>
    </w:lvl>
    <w:lvl w:ilvl="1">
      <w:lvlJc w:val="left"/>
      <w:lvlText w:val="(%2)"/>
      <w:numFmt w:val="lowerRoman"/>
      <w:start w:val="1"/>
    </w:lvl>
  </w:abstractNum>
  <w:abstractNum w:abstractNumId="94">
    <w:nsid w:val="5108827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95">
    <w:nsid w:val="1CA0C5FA"/>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96">
    <w:nsid w:val="53584BC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1)"/>
      <w:numFmt w:val="lowerRoman"/>
      <w:start w:val="1"/>
    </w:lvl>
  </w:abstractNum>
  <w:abstractNum w:abstractNumId="99">
    <w:nsid w:val="23D86AAC"/>
    <w:multiLevelType w:val="hybridMultilevel"/>
    <w:lvl w:ilvl="0">
      <w:lvlJc w:val="left"/>
      <w:lvlText w:val=" "/>
      <w:numFmt w:val="bullet"/>
      <w:start w:val="1"/>
    </w:lvl>
  </w:abstractNum>
  <w:abstractNum w:abstractNumId="100">
    <w:nsid w:val="45E6D486"/>
    <w:multiLevelType w:val="hybridMultilevel"/>
    <w:lvl w:ilvl="0">
      <w:lvlJc w:val="left"/>
      <w:lvlText w:val="(%1)"/>
      <w:numFmt w:val="lowerRoman"/>
      <w:start w:val="2"/>
    </w:lvl>
  </w:abstractNum>
  <w:abstractNum w:abstractNumId="101">
    <w:nsid w:val="5C10FE21"/>
    <w:multiLevelType w:val="hybridMultilevel"/>
    <w:lvl w:ilvl="0">
      <w:lvlJc w:val="left"/>
      <w:lvlText w:val="(%1)"/>
      <w:numFmt w:val="lowerRoman"/>
      <w:start w:val="3"/>
    </w:lvl>
  </w:abstractNum>
  <w:abstractNum w:abstractNumId="102">
    <w:nsid w:val="E7FFA2B"/>
    <w:multiLevelType w:val="hybridMultilevel"/>
    <w:lvl w:ilvl="0">
      <w:lvlJc w:val="left"/>
      <w:lvlText w:val="(%1)"/>
      <w:numFmt w:val="lowerLetter"/>
      <w:start w:val="2"/>
    </w:lvl>
  </w:abstractNum>
  <w:abstractNum w:abstractNumId="103">
    <w:nsid w:val="3C5991AA"/>
    <w:multiLevelType w:val="hybridMultilevel"/>
    <w:lvl w:ilvl="0">
      <w:lvlJc w:val="left"/>
      <w:lvlText w:val="(%1)"/>
      <w:numFmt w:val="lowerLetter"/>
      <w:start w:val="4"/>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1)"/>
      <w:numFmt w:val="lowerLetter"/>
      <w:start w:val="3"/>
    </w:lvl>
  </w:abstractNum>
  <w:abstractNum w:abstractNumId="106">
    <w:nsid w:val="39B7AAA2"/>
    <w:multiLevelType w:val="hybridMultilevel"/>
    <w:lvl w:ilvl="0">
      <w:lvlJc w:val="left"/>
      <w:lvlText w:val="%1"/>
      <w:numFmt w:val="lowerLetter"/>
      <w:start w:val="1"/>
    </w:lvl>
    <w:lvl w:ilvl="1">
      <w:lvlJc w:val="left"/>
      <w:lvlText w:val="(%2)"/>
      <w:numFmt w:val="lowerLetter"/>
      <w:start w:val="1"/>
    </w:lvl>
  </w:abstractNum>
  <w:abstractNum w:abstractNumId="107">
    <w:nsid w:val="2B0D8DBE"/>
    <w:multiLevelType w:val="hybridMultilevel"/>
    <w:lvl w:ilvl="0">
      <w:lvlJc w:val="left"/>
      <w:lvlText w:val="(%1)"/>
      <w:numFmt w:val="lowerLetter"/>
      <w:start w:val="9"/>
    </w:lvl>
    <w:lvl w:ilvl="1">
      <w:lvlJc w:val="left"/>
      <w:lvlText w:val="%2"/>
      <w:numFmt w:val="lowerLetter"/>
      <w:start w:val="1"/>
    </w:lvl>
  </w:abstractNum>
  <w:abstractNum w:abstractNumId="108">
    <w:nsid w:val="6C80EC70"/>
    <w:multiLevelType w:val="hybridMultilevel"/>
    <w:lvl w:ilvl="0">
      <w:lvlJc w:val="left"/>
      <w:lvlText w:val="(%1)"/>
      <w:numFmt w:val="lowerLetter"/>
      <w:start w:val="3"/>
    </w:lvl>
  </w:abstractNum>
  <w:abstractNum w:abstractNumId="109">
    <w:nsid w:val="379E21B5"/>
    <w:multiLevelType w:val="hybridMultilevel"/>
    <w:lvl w:ilvl="0">
      <w:lvlJc w:val="left"/>
      <w:lvlText w:val="(%1)"/>
      <w:numFmt w:val="lowerLetter"/>
      <w:start w:val="1"/>
    </w:lvl>
  </w:abstractNum>
  <w:abstractNum w:abstractNumId="110">
    <w:nsid w:val="69E373"/>
    <w:multiLevelType w:val="hybridMultilevel"/>
    <w:lvl w:ilvl="0">
      <w:lvlJc w:val="left"/>
      <w:lvlText w:val="(%1)"/>
      <w:numFmt w:val="lowerLetter"/>
      <w:start w:val="2"/>
    </w:lvl>
  </w:abstractNum>
  <w:abstractNum w:abstractNumId="111">
    <w:nsid w:val="2C27173B"/>
    <w:multiLevelType w:val="hybridMultilevel"/>
    <w:lvl w:ilvl="0">
      <w:lvlJc w:val="left"/>
      <w:lvlText w:val="(%1)"/>
      <w:numFmt w:val="lowerLetter"/>
      <w:start w:val="4"/>
    </w:lvl>
  </w:abstractNum>
  <w:abstractNum w:abstractNumId="112">
    <w:nsid w:val="4C9B0904"/>
    <w:multiLevelType w:val="hybridMultilevel"/>
    <w:lvl w:ilvl="0">
      <w:lvlJc w:val="left"/>
      <w:lvlText w:val="(%1)"/>
      <w:numFmt w:val="lowerLetter"/>
      <w:start w:val="35"/>
    </w:lvl>
    <w:lvl w:ilvl="1">
      <w:lvlJc w:val="left"/>
      <w:lvlText w:val="(%2)"/>
      <w:numFmt w:val="lowerLetter"/>
      <w:start w:val="6"/>
    </w:lvl>
  </w:abstractNum>
  <w:abstractNum w:abstractNumId="113">
    <w:nsid w:val="6AA7B75C"/>
    <w:multiLevelType w:val="hybridMultilevel"/>
    <w:lvl w:ilvl="0">
      <w:lvlJc w:val="left"/>
      <w:lvlText w:val="(%1)"/>
      <w:numFmt w:val="lowerLetter"/>
      <w:start w:val="7"/>
    </w:lvl>
  </w:abstractNum>
  <w:abstractNum w:abstractNumId="114">
    <w:nsid w:val="1DF029D3"/>
    <w:multiLevelType w:val="hybridMultilevel"/>
    <w:lvl w:ilvl="0">
      <w:lvlJc w:val="left"/>
      <w:lvlText w:val="(%1)"/>
      <w:numFmt w:val="lowerLetter"/>
      <w:start w:val="1"/>
    </w:lvl>
  </w:abstractNum>
  <w:abstractNum w:abstractNumId="115">
    <w:nsid w:val="5675FF36"/>
    <w:multiLevelType w:val="hybridMultilevel"/>
    <w:lvl w:ilvl="0">
      <w:lvlJc w:val="left"/>
      <w:lvlText w:val="%1"/>
      <w:numFmt w:val="lowerLetter"/>
      <w:start w:val="1"/>
    </w:lvl>
    <w:lvl w:ilvl="1">
      <w:lvlJc w:val="left"/>
      <w:lvlText w:val="(%2)"/>
      <w:numFmt w:val="lowerLetter"/>
      <w:start w:val="2"/>
    </w:lvl>
  </w:abstractNum>
  <w:abstractNum w:abstractNumId="116">
    <w:nsid w:val="3DD15094"/>
    <w:multiLevelType w:val="hybridMultilevel"/>
    <w:lvl w:ilvl="0">
      <w:lvlJc w:val="left"/>
      <w:lvlText w:val="(%1)"/>
      <w:numFmt w:val="lowerLetter"/>
      <w:start w:val="35"/>
    </w:lvl>
    <w:lvl w:ilvl="1">
      <w:lvlJc w:val="left"/>
      <w:lvlText w:val="%2"/>
      <w:numFmt w:val="lowerLetter"/>
      <w:start w:val="1"/>
    </w:lvl>
  </w:abstractNum>
  <w:abstractNum w:abstractNumId="117">
    <w:nsid w:val="3DB012B3"/>
    <w:multiLevelType w:val="hybridMultilevel"/>
    <w:lvl w:ilvl="0">
      <w:lvlJc w:val="left"/>
      <w:lvlText w:val="(%1)"/>
      <w:numFmt w:val="lowerLetter"/>
      <w:start w:val="1"/>
    </w:lvl>
  </w:abstractNum>
  <w:abstractNum w:abstractNumId="118">
    <w:nsid w:val="2708C9AF"/>
    <w:multiLevelType w:val="hybridMultilevel"/>
    <w:lvl w:ilvl="0">
      <w:lvlJc w:val="left"/>
      <w:lvlText w:val="(%1)"/>
      <w:numFmt w:val="lowerLetter"/>
      <w:start w:val="2"/>
    </w:lvl>
  </w:abstractNum>
  <w:abstractNum w:abstractNumId="119">
    <w:nsid w:val="5B25ACE2"/>
    <w:multiLevelType w:val="hybridMultilevel"/>
    <w:lvl w:ilvl="0">
      <w:lvlJc w:val="left"/>
      <w:lvlText w:val="(%1)"/>
      <w:numFmt w:val="lowerLetter"/>
      <w:start w:val="6"/>
    </w:lvl>
  </w:abstractNum>
  <w:abstractNum w:abstractNumId="120">
    <w:nsid w:val="175DFCF0"/>
    <w:multiLevelType w:val="hybridMultilevel"/>
    <w:lvl w:ilvl="0">
      <w:lvlJc w:val="left"/>
      <w:lvlText w:val="(%1)"/>
      <w:numFmt w:val="lowerLetter"/>
      <w:start w:val="61"/>
    </w:lvl>
  </w:abstractNum>
  <w:abstractNum w:abstractNumId="121">
    <w:nsid w:val="4F97E3E4"/>
    <w:multiLevelType w:val="hybridMultilevel"/>
    <w:lvl w:ilvl="0">
      <w:lvlJc w:val="left"/>
      <w:lvlText w:val="(%1)"/>
      <w:numFmt w:val="lowerLetter"/>
      <w:start w:val="25"/>
    </w:lvl>
  </w:abstractNum>
  <w:abstractNum w:abstractNumId="122">
    <w:nsid w:val="53B0A9E"/>
    <w:multiLevelType w:val="hybridMultilevel"/>
    <w:lvl w:ilvl="0">
      <w:lvlJc w:val="left"/>
      <w:lvlText w:val="(%1)"/>
      <w:numFmt w:val="lowerRoman"/>
      <w:start w:val="1"/>
    </w:lvl>
  </w:abstractNum>
  <w:abstractNum w:abstractNumId="123">
    <w:nsid w:val="34FD6B4F"/>
    <w:multiLevelType w:val="hybridMultilevel"/>
    <w:lvl w:ilvl="0">
      <w:lvlJc w:val="left"/>
      <w:lvlText w:val="(%1)"/>
      <w:numFmt w:val="lowerRoman"/>
      <w:start w:val="5"/>
    </w:lvl>
  </w:abstractNum>
  <w:abstractNum w:abstractNumId="124">
    <w:nsid w:val="5915FF3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2024-01-30T09:02:05Z</dcterms:created>
  <dcterms:modified xsi:type="dcterms:W3CDTF">2024-01-30T09:02:05Z</dcterms:modified>
</cp:coreProperties>
</file>