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pPr>
      <w:r>
        <w:rPr>
          <w:rFonts w:ascii="Times New Roman;sans-serif" w:hAnsi="Times New Roman;sans-serif"/>
          <w:b/>
          <w:color w:val="000000"/>
          <w:sz w:val="24"/>
        </w:rPr>
        <w:t>Washington, D.C. 20549</w:t>
      </w:r>
      <w:r>
        <w:rPr>
          <w:color w:val="000000"/>
        </w:rPr>
        <w:t> </w:t>
      </w:r>
    </w:p>
    <w:p>
      <w:pPr>
        <w:pStyle w:val="TextBody"/>
        <w:bidi w:val="0"/>
        <w:spacing w:lineRule="auto" w:line="288" w:before="120" w:after="283"/>
        <w:jc w:val="center"/>
        <w:rPr/>
      </w:pPr>
      <w:r>
        <w:rPr>
          <w:rFonts w:ascii="Times New Roman;sans-serif" w:hAnsi="Times New Roman;sans-serif"/>
          <w:b/>
          <w:color w:val="000000"/>
          <w:sz w:val="32"/>
        </w:rPr>
        <w:t>FORM 10-Q</w:t>
      </w:r>
      <w:r>
        <w:rPr>
          <w:color w:val="000000"/>
        </w:rPr>
        <w:t> </w:t>
      </w:r>
    </w:p>
    <w:p>
      <w:pPr>
        <w:pStyle w:val="TextBody"/>
        <w:bidi w:val="0"/>
        <w:spacing w:lineRule="auto" w:line="288" w:before="0" w:after="0"/>
        <w:jc w:val="left"/>
        <w:rPr/>
      </w:pPr>
      <w:r>
        <w:rPr>
          <w:rFonts w:ascii="Times New Roman;sans-serif" w:hAnsi="Times New Roman;sans-serif"/>
          <w:b w:val="false"/>
          <w:color w:val="000000"/>
          <w:sz w:val="16"/>
        </w:rPr>
        <w:t>(Mark One) </w:t>
      </w:r>
      <w:r>
        <w:rPr>
          <w:color w:val="000000"/>
        </w:rPr>
        <w:t>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September 30, 2024</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 the transition period from _________ to _________</w:t>
      </w:r>
    </w:p>
    <w:p>
      <w:pPr>
        <w:pStyle w:val="TextBody"/>
        <w:bidi w:val="0"/>
        <w:spacing w:lineRule="auto" w:line="288" w:before="60" w:after="283"/>
        <w:jc w:val="center"/>
        <w:rPr/>
      </w:pPr>
      <w:r>
        <w:rPr>
          <w:rFonts w:ascii="Times New Roman;sans-serif" w:hAnsi="Times New Roman;sans-serif"/>
          <w:b w:val="false"/>
          <w:color w:val="000000"/>
          <w:sz w:val="18"/>
        </w:rPr>
        <w:t>Commission File Number:</w:t>
      </w:r>
      <w:r>
        <w:rPr>
          <w:color w:val="000000"/>
        </w:rPr>
        <w:t xml:space="preserve"> </w:t>
      </w:r>
      <w:r>
        <w:rPr>
          <w:rFonts w:ascii="Times New Roman;sans-serif" w:hAnsi="Times New Roman;sans-serif"/>
          <w:b/>
          <w:color w:val="000000"/>
          <w:sz w:val="18"/>
        </w:rPr>
        <w:t xml:space="preserve">1-40144 </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APA CORPORATION</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035" w:type="dxa"/>
        <w:jc w:val="center"/>
        <w:tblInd w:w="0" w:type="dxa"/>
        <w:tblLayout w:type="fixed"/>
        <w:tblCellMar>
          <w:top w:w="28" w:type="dxa"/>
          <w:left w:w="28" w:type="dxa"/>
          <w:bottom w:w="28" w:type="dxa"/>
          <w:right w:w="28" w:type="dxa"/>
        </w:tblCellMar>
      </w:tblPr>
      <w:tblGrid>
        <w:gridCol w:w="1560"/>
        <w:gridCol w:w="1374"/>
        <w:gridCol w:w="1386"/>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86-1430562</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2000 W. Sam Houston Pkwy. S., Suite 200, Houston, Texas 77042-3643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(713) 296-6000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120" w:after="283"/>
        <w:jc w:val="left"/>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8046" w:type="dxa"/>
        <w:jc w:val="center"/>
        <w:tblInd w:w="0" w:type="dxa"/>
        <w:tblLayout w:type="fixed"/>
        <w:tblCellMar>
          <w:top w:w="28" w:type="dxa"/>
          <w:left w:w="28" w:type="dxa"/>
          <w:bottom w:w="28" w:type="dxa"/>
          <w:right w:w="28" w:type="dxa"/>
        </w:tblCellMar>
      </w:tblPr>
      <w:tblGrid>
        <w:gridCol w:w="962"/>
        <w:gridCol w:w="848"/>
        <w:gridCol w:w="859"/>
        <w:gridCol w:w="109"/>
        <w:gridCol w:w="109"/>
        <w:gridCol w:w="109"/>
        <w:gridCol w:w="484"/>
        <w:gridCol w:w="484"/>
        <w:gridCol w:w="486"/>
        <w:gridCol w:w="109"/>
        <w:gridCol w:w="109"/>
        <w:gridCol w:w="109"/>
        <w:gridCol w:w="956"/>
        <w:gridCol w:w="956"/>
        <w:gridCol w:w="1357"/>
      </w:tblGrid>
      <w:tr>
        <w:trPr/>
        <w:tc>
          <w:tcPr>
            <w:tcW w:w="96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$0.625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Nasdaq Global Select Market</w:t>
            </w:r>
          </w:p>
        </w:tc>
      </w:tr>
    </w:tbl>
    <w:p>
      <w:pPr>
        <w:pStyle w:val="TextBody"/>
        <w:bidi w:val="0"/>
        <w:spacing w:lineRule="auto" w:line="288" w:before="60" w:after="283"/>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60" w:after="283"/>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3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25"/>
        <w:gridCol w:w="125"/>
        <w:gridCol w:w="126"/>
        <w:gridCol w:w="109"/>
        <w:gridCol w:w="109"/>
        <w:gridCol w:w="109"/>
        <w:gridCol w:w="678"/>
        <w:gridCol w:w="678"/>
        <w:gridCol w:w="683"/>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tbl>
      <w:tblPr>
        <w:tblW w:w="7264" w:type="dxa"/>
        <w:jc w:val="left"/>
        <w:tblInd w:w="0" w:type="dxa"/>
        <w:tblLayout w:type="fixed"/>
        <w:tblCellMar>
          <w:top w:w="28" w:type="dxa"/>
          <w:left w:w="28" w:type="dxa"/>
          <w:bottom w:w="28" w:type="dxa"/>
          <w:right w:w="28" w:type="dxa"/>
        </w:tblCellMar>
      </w:tblPr>
      <w:tblGrid>
        <w:gridCol w:w="2194"/>
        <w:gridCol w:w="1929"/>
        <w:gridCol w:w="1936"/>
        <w:gridCol w:w="525"/>
        <w:gridCol w:w="526"/>
        <w:gridCol w:w="154"/>
      </w:tblGrid>
      <w:tr>
        <w:trPr/>
        <w:tc>
          <w:tcPr>
            <w:tcW w:w="2194"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Number of shares of registrant’s common stock outstanding as of October 31, 2024</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369,947,453 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5"/>
        <w:gridCol w:w="162"/>
        <w:gridCol w:w="164"/>
        <w:gridCol w:w="2951"/>
        <w:gridCol w:w="2919"/>
        <w:gridCol w:w="2924"/>
        <w:gridCol w:w="109"/>
        <w:gridCol w:w="109"/>
        <w:gridCol w:w="109"/>
        <w:gridCol w:w="167"/>
        <w:gridCol w:w="167"/>
        <w:gridCol w:w="239"/>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Item</w:t>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u w:val="single"/>
              </w:rPr>
              <w:t>PART I</w:t>
            </w:r>
            <w:r>
              <w:rPr>
                <w:color w:val="000000"/>
              </w:rPr>
              <w:t xml:space="preserve"> </w:t>
            </w:r>
            <w:r>
              <w:rPr>
                <w:rFonts w:ascii="Times New Roman;sans-serif" w:hAnsi="Times New Roman;sans-serif"/>
                <w:b/>
                <w:color w:val="000000"/>
                <w:sz w:val="20"/>
              </w:rPr>
              <w:t>- FINANCIAL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7ee99daef34ad8b761272c789e67a2_19">
              <w:r>
                <w:rPr>
                  <w:rStyle w:val="InternetLink"/>
                  <w:rFonts w:ascii="Times New Roman;sans-serif" w:hAnsi="Times New Roman;sans-serif"/>
                  <w:b w:val="false"/>
                  <w:color w:val="0000FF"/>
                  <w:sz w:val="20"/>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57ee99daef34ad8b761272c789e67a2_19">
              <w:r>
                <w:rPr>
                  <w:rStyle w:val="InternetLink"/>
                  <w:rFonts w:ascii="Times New Roman;sans-serif" w:hAnsi="Times New Roman;sans-serif"/>
                  <w:b w:val="false"/>
                  <w:color w:val="0000FF"/>
                  <w:sz w:val="20"/>
                  <w:u w:val="single"/>
                </w:rPr>
                <w:t>1</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157ee99daef34ad8b761272c789e67a2_22">
              <w:r>
                <w:rPr>
                  <w:rStyle w:val="InternetLink"/>
                  <w:rFonts w:ascii="Times New Roman;sans-serif" w:hAnsi="Times New Roman;sans-serif"/>
                  <w:b w:val="false"/>
                  <w:color w:val="0000FF"/>
                  <w:sz w:val="20"/>
                  <w:u w:val="single"/>
                </w:rPr>
                <w:t>STATEMENT OF CONSOLIDATED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57ee99daef34ad8b761272c789e67a2_22">
              <w:r>
                <w:rPr>
                  <w:rStyle w:val="InternetLink"/>
                  <w:rFonts w:ascii="Times New Roman;sans-serif" w:hAnsi="Times New Roman;sans-serif"/>
                  <w:b w:val="false"/>
                  <w:color w:val="0000FF"/>
                  <w:sz w:val="20"/>
                  <w:u w:val="single"/>
                </w:rPr>
                <w:t>1</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157ee99daef34ad8b761272c789e67a2_25">
              <w:r>
                <w:rPr>
                  <w:rStyle w:val="InternetLink"/>
                  <w:rFonts w:ascii="Times New Roman;sans-serif" w:hAnsi="Times New Roman;sans-serif"/>
                  <w:b w:val="false"/>
                  <w:color w:val="0000FF"/>
                  <w:sz w:val="20"/>
                  <w:u w:val="single"/>
                </w:rPr>
                <w:t>STATEMENT OF CONSOLIDATED COMPREHENSIVE INCOME (LOSS)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57ee99daef34ad8b761272c789e67a2_25">
              <w:r>
                <w:rPr>
                  <w:rStyle w:val="InternetLink"/>
                  <w:rFonts w:ascii="Times New Roman;sans-serif" w:hAnsi="Times New Roman;sans-serif"/>
                  <w:b w:val="false"/>
                  <w:color w:val="0000FF"/>
                  <w:sz w:val="20"/>
                  <w:u w:val="single"/>
                </w:rPr>
                <w:t>2</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157ee99daef34ad8b761272c789e67a2_28">
              <w:r>
                <w:rPr>
                  <w:rStyle w:val="InternetLink"/>
                  <w:rFonts w:ascii="Times New Roman;sans-serif" w:hAnsi="Times New Roman;sans-serif"/>
                  <w:b w:val="false"/>
                  <w:color w:val="0000FF"/>
                  <w:sz w:val="20"/>
                  <w:u w:val="single"/>
                </w:rPr>
                <w:t>STATEMENT OF CONSOLIDATED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57ee99daef34ad8b761272c789e67a2_28">
              <w:r>
                <w:rPr>
                  <w:rStyle w:val="InternetLink"/>
                  <w:rFonts w:ascii="Times New Roman;sans-serif" w:hAnsi="Times New Roman;sans-serif"/>
                  <w:b w:val="false"/>
                  <w:color w:val="0000FF"/>
                  <w:sz w:val="20"/>
                  <w:u w:val="single"/>
                </w:rPr>
                <w:t>3</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157ee99daef34ad8b761272c789e67a2_31">
              <w:r>
                <w:rPr>
                  <w:rStyle w:val="InternetLink"/>
                  <w:rFonts w:ascii="Times New Roman;sans-serif" w:hAnsi="Times New Roman;sans-serif"/>
                  <w:b w:val="false"/>
                  <w:color w:val="0000FF"/>
                  <w:sz w:val="20"/>
                  <w:u w:val="single"/>
                </w:rPr>
                <w:t>CONSOLIDATED BALANCE SHEET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57ee99daef34ad8b761272c789e67a2_31">
              <w:r>
                <w:rPr>
                  <w:rStyle w:val="InternetLink"/>
                  <w:rFonts w:ascii="Times New Roman;sans-serif" w:hAnsi="Times New Roman;sans-serif"/>
                  <w:b w:val="false"/>
                  <w:color w:val="0000FF"/>
                  <w:sz w:val="20"/>
                  <w:u w:val="single"/>
                </w:rPr>
                <w:t>4</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7ee99daef34ad8b761272c789e67a2_34">
              <w:r>
                <w:rPr>
                  <w:rStyle w:val="InternetLink"/>
                  <w:rFonts w:ascii="Times New Roman;sans-serif" w:hAnsi="Times New Roman;sans-serif"/>
                  <w:b w:val="false"/>
                  <w:color w:val="0000FF"/>
                  <w:sz w:val="20"/>
                  <w:u w:val="single"/>
                </w:rPr>
                <w:t>STATEMENT OF CONSOLIDATED CHANGES IN EQUITY AND NONCONTROLLING INTERESTS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57ee99daef34ad8b761272c789e67a2_34">
              <w:r>
                <w:rPr>
                  <w:rStyle w:val="InternetLink"/>
                  <w:rFonts w:ascii="Times New Roman;sans-serif" w:hAnsi="Times New Roman;sans-serif"/>
                  <w:b w:val="false"/>
                  <w:color w:val="0000FF"/>
                  <w:sz w:val="20"/>
                  <w:u w:val="single"/>
                </w:rPr>
                <w:t>5</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157ee99daef34ad8b761272c789e67a2_40">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57ee99daef34ad8b761272c789e67a2_40">
              <w:r>
                <w:rPr>
                  <w:rStyle w:val="InternetLink"/>
                  <w:rFonts w:ascii="Times New Roman;sans-serif" w:hAnsi="Times New Roman;sans-serif"/>
                  <w:b w:val="false"/>
                  <w:color w:val="0000FF"/>
                  <w:sz w:val="20"/>
                  <w:u w:val="single"/>
                </w:rPr>
                <w:t>7</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7ee99daef34ad8b761272c789e67a2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57ee99daef34ad8b761272c789e67a2_91">
              <w:r>
                <w:rPr>
                  <w:rStyle w:val="InternetLink"/>
                  <w:rFonts w:ascii="Times New Roman;sans-serif" w:hAnsi="Times New Roman;sans-serif"/>
                  <w:b w:val="false"/>
                  <w:color w:val="0000FF"/>
                  <w:sz w:val="20"/>
                  <w:u w:val="single"/>
                </w:rPr>
                <w:t>30</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7ee99daef34ad8b761272c789e67a2_148">
              <w:r>
                <w:rPr>
                  <w:rStyle w:val="InternetLink"/>
                  <w:rFonts w:ascii="Times New Roman;sans-serif" w:hAnsi="Times New Roman;sans-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57ee99daef34ad8b761272c789e67a2_148">
              <w:r>
                <w:rPr>
                  <w:rStyle w:val="InternetLink"/>
                  <w:rFonts w:ascii="Times New Roman;sans-serif" w:hAnsi="Times New Roman;sans-serif"/>
                  <w:b w:val="false"/>
                  <w:color w:val="0000FF"/>
                  <w:sz w:val="20"/>
                  <w:u w:val="single"/>
                </w:rPr>
                <w:t>47</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7ee99daef34ad8b761272c789e67a2_151">
              <w:r>
                <w:rPr>
                  <w:rStyle w:val="InternetLink"/>
                  <w:rFonts w:ascii="Times New Roman;sans-serif" w:hAnsi="Times New Roman;sans-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57ee99daef34ad8b761272c789e67a2_151">
              <w:r>
                <w:rPr>
                  <w:rStyle w:val="InternetLink"/>
                  <w:rFonts w:ascii="Times New Roman;sans-serif" w:hAnsi="Times New Roman;sans-serif"/>
                  <w:b w:val="false"/>
                  <w:color w:val="0000FF"/>
                  <w:sz w:val="20"/>
                  <w:u w:val="single"/>
                </w:rPr>
                <w:t>48</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u w:val="single"/>
              </w:rPr>
              <w:t>PART II</w:t>
            </w:r>
            <w:r>
              <w:rPr>
                <w:color w:val="000000"/>
              </w:rPr>
              <w:t xml:space="preserve"> </w:t>
            </w:r>
            <w:r>
              <w:rPr>
                <w:rFonts w:ascii="Times New Roman;sans-serif" w:hAnsi="Times New Roman;sans-serif"/>
                <w:b/>
                <w:color w:val="000000"/>
                <w:sz w:val="20"/>
              </w:rPr>
              <w:t>- 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7ee99daef34ad8b761272c789e67a2_157">
              <w:r>
                <w:rPr>
                  <w:rStyle w:val="InternetLink"/>
                  <w:rFonts w:ascii="Times New Roman;sans-serif" w:hAnsi="Times New Roman;sans-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57ee99daef34ad8b761272c789e67a2_157">
              <w:r>
                <w:rPr>
                  <w:rStyle w:val="InternetLink"/>
                  <w:rFonts w:ascii="Times New Roman;sans-serif" w:hAnsi="Times New Roman;sans-serif"/>
                  <w:b w:val="false"/>
                  <w:color w:val="0000FF"/>
                  <w:sz w:val="20"/>
                  <w:u w:val="single"/>
                </w:rPr>
                <w:t>49</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1A.</w:t>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7ee99daef34ad8b761272c789e67a2_160">
              <w:r>
                <w:rPr>
                  <w:rStyle w:val="InternetLink"/>
                  <w:rFonts w:ascii="Times New Roman;sans-serif" w:hAnsi="Times New Roman;sans-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57ee99daef34ad8b761272c789e67a2_160">
              <w:r>
                <w:rPr>
                  <w:rStyle w:val="InternetLink"/>
                  <w:rFonts w:ascii="Times New Roman;sans-serif" w:hAnsi="Times New Roman;sans-serif"/>
                  <w:b w:val="false"/>
                  <w:color w:val="0000FF"/>
                  <w:sz w:val="20"/>
                  <w:u w:val="single"/>
                </w:rPr>
                <w:t>49</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7ee99daef34ad8b761272c789e67a2_163">
              <w:r>
                <w:rPr>
                  <w:rStyle w:val="InternetLink"/>
                  <w:rFonts w:ascii="Times New Roman;sans-serif" w:hAnsi="Times New Roman;sans-serif"/>
                  <w:b w:val="false"/>
                  <w:color w:val="0000FF"/>
                  <w:sz w:val="20"/>
                  <w:u w:val="singl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57ee99daef34ad8b761272c789e67a2_163">
              <w:r>
                <w:rPr>
                  <w:rStyle w:val="InternetLink"/>
                  <w:rFonts w:ascii="Times New Roman;sans-serif" w:hAnsi="Times New Roman;sans-serif"/>
                  <w:b w:val="false"/>
                  <w:color w:val="0000FF"/>
                  <w:sz w:val="20"/>
                  <w:u w:val="single"/>
                </w:rPr>
                <w:t>49</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7ee99daef34ad8b761272c789e67a2_172">
              <w:r>
                <w:rPr>
                  <w:rStyle w:val="InternetLink"/>
                  <w:rFonts w:ascii="Times New Roman;sans-serif" w:hAnsi="Times New Roman;sans-serif"/>
                  <w:b w:val="false"/>
                  <w:color w:val="0000FF"/>
                  <w:sz w:val="20"/>
                  <w:u w:val="single"/>
                </w:rPr>
                <w:t>OTHER INFORMATION</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57ee99daef34ad8b761272c789e67a2_172">
              <w:r>
                <w:rPr>
                  <w:rStyle w:val="InternetLink"/>
                  <w:rFonts w:ascii="Times New Roman;sans-serif" w:hAnsi="Times New Roman;sans-serif"/>
                  <w:b w:val="false"/>
                  <w:color w:val="0000FF"/>
                  <w:sz w:val="20"/>
                  <w:u w:val="single"/>
                </w:rPr>
                <w:t>49</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7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7ee99daef34ad8b761272c789e67a2_175">
              <w:r>
                <w:rPr>
                  <w:rStyle w:val="InternetLink"/>
                  <w:rFonts w:ascii="Times New Roman;sans-serif" w:hAnsi="Times New Roman;sans-serif"/>
                  <w:b w:val="false"/>
                  <w:color w:val="0000FF"/>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57ee99daef34ad8b761272c789e67a2_175">
              <w:r>
                <w:rPr>
                  <w:rStyle w:val="InternetLink"/>
                  <w:rFonts w:ascii="Times New Roman;sans-serif" w:hAnsi="Times New Roman;sans-serif"/>
                  <w:b w:val="false"/>
                  <w:color w:val="0000FF"/>
                  <w:sz w:val="20"/>
                  <w:u w:val="single"/>
                </w:rPr>
                <w:t>50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 AND RISKS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report, including, without limitation, statements regarding the Company’s future financial position, business strategy, budgets, projected revenues, projected costs, plans and objectives of management for future operations and capital returns framework, the anticipated benefits of the merger (the Callon acquisition) between the Company and Callon Petroleum Company (Callon), the anticipated impact of the Callon acquisition on the combined company’s business and future financial and operating results, and the anticipated financial and operational impact and timing of the expected synergies from the Callon acquisition, are forward-looking statements. Such forward-looking statements are based on the Company’s examination of historical operating trends, the information that was used to prepare its estimate of proved reserves as of December 31, 2023, and other data in the Company’s possession or available from third parties. In addition, forward-looking statements generally can be identified by the use of forward-looking terminology such as “may,” “will,” “could,” “expect,” “intend,” “project,” “estimate,” “anticipate,” “plan,” “believe,” “continue,” “seek,” “guidance,” “goal,” “might,” “outlook,” “possibly,” “potential,” “prospect,” “should,” “would,” or similar terminology, but the absence of these words does not mean that a statement is not forward looking. Although the Company believes that the expectations reflected in such forward-looking statements are reasonable under the circumstances, it can give no assurance that such expectations will prove to have been correct. Important factors that could cause actual results to differ materially from the Company’s expectations include, but are not limited to, its assumptions about: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local, regional, national, and international economic conditions, including as a result of any epidemics or pandemics;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market prices of oil, natural gas, natural gas liquids (NGLs), and other products or services, including the prices received for natural gas purchased from third parties to sell and deliver to a U.S. LNG export facility;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Company’s commodity hedging arrangements;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supply and demand for oil, natural gas, NGLs, and other products or services;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production and reserve levels;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drilling risks;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economic and competitive conditions, including market and macro-economic disruptions resulting from the Russian war in Ukraine, the armed conflict in Israel and Gaza, and actions taken by foreign oil and gas producing nations, including the Organization of the Petroleum Exporting Countries (OPEC) and non-OPEC members that participate in OPEC initiatives (OPEC+);</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availability of capital resources;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capital expenditures and other contractual obligations;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currency exchange rates;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weather conditions;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inflation rates;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changes in tax legislation;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availability of goods and services;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political pressure and the influence of environmental groups and other stakeholders on decisions and policies related to the industries in which the Company and its affiliates operate;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legislative, regulatory, or policy changes, including initiatives addressing the impact of global climate change or further regulating hydraulic fracturing, methane emissions, flaring, or water disposal;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Company’s performance on environmental, social, and governance measures;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cyberattacks and terrorism;</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Company’s ability to access the capital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market-related risks, such as general credit, liquidity, and interest-rate risks;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ability to retain and hire key personnel;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property acquisitions or divestitures;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integration of acquisitions, including the diversion of management time on integration-related issues for the Callon acquisition and the risk that the Company may not integrate Callon’s operations in a successful manner or in the expected time period;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risk that the anticipated benefits, cost savings, synergies, and growth from the Callon acquisition may not be fully realized or may take longer to realize than expected;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negative effects of the Callon acquisition on the Company’s business relationships and business generally, the market price of the Company’s common stock, and/or the Company’s operating results;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factors disclosed under Items 1 and 2—Business and Properties—Estimated Proved Reserves and Future Net Cash Flows, Item 1A—Risk Factors, Item 7—Management’s Discussion and Analysis of Financial Condition and Results of Operations, Item 7A—Quantitative and Qualitative Disclosures About Market Risk and elsewhere in the Company’s Annual Report on Form 10-K for the fiscal year ended December 31, 2023;</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risks and uncertainties disclosed in the Company’s third-quarter 2024 earnings release;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other factors disclosed under Part II, </w:t>
      </w:r>
      <w:hyperlink w:anchor="i157ee99daef34ad8b761272c789e67a2_160">
        <w:r>
          <w:rPr>
            <w:rStyle w:val="InternetLink"/>
            <w:rFonts w:ascii="Times New Roman;sans-serif" w:hAnsi="Times New Roman;sans-serif"/>
            <w:b w:val="false"/>
            <w:color w:val="0000FF"/>
            <w:sz w:val="20"/>
            <w:u w:val="single"/>
          </w:rPr>
          <w:t>Item 1A—Risk Factors</w:t>
        </w:r>
      </w:hyperlink>
      <w:r>
        <w:rPr>
          <w:color w:val="000000"/>
        </w:rPr>
        <w:t xml:space="preserve"> </w:t>
      </w:r>
      <w:r>
        <w:rPr>
          <w:rFonts w:ascii="Times New Roman;sans-serif" w:hAnsi="Times New Roman;sans-serif"/>
          <w:b w:val="false"/>
          <w:color w:val="000000"/>
          <w:sz w:val="20"/>
        </w:rPr>
        <w:t>of this Quarterly Report on Form 10-Q;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factors disclosed in the other filings that the Company makes with the Securities and Exchange Commission.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Other factors or events that could cause the Company’s actual results to differ materially from the Company’s expectations may emerge from time to time, and it is not possible for the Company to predict all such factors or events. All subsequent written and oral forward-looking statements attributable to the Company, or persons acting on its behalf, are expressly qualified in their entirety by these cautionary statements. All forward-looking statements speak only as of the date of this Quarterly Report on Form 10-Q. Except as required by law, the Company disclaims any obligation to update or revise these statements, whether based on changes in internal estimates or expectations, new information, future developments,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212529"/>
          <w:sz w:val="20"/>
        </w:rPr>
      </w:pPr>
      <w:r>
        <w:rPr>
          <w:rFonts w:ascii="Times New Roman;sans-serif" w:hAnsi="Times New Roman;sans-serif"/>
          <w:b/>
          <w:color w:val="212529"/>
          <w:sz w:val="20"/>
        </w:rPr>
        <w:t>DEFINITIONS</w:t>
      </w:r>
    </w:p>
    <w:p>
      <w:pPr>
        <w:pStyle w:val="TextBody"/>
        <w:bidi w:val="0"/>
        <w:spacing w:lineRule="auto" w:line="288" w:before="200" w:after="283"/>
        <w:ind w:left="0" w:right="0" w:firstLine="495"/>
        <w:jc w:val="both"/>
        <w:rPr>
          <w:rFonts w:ascii="Times New Roman;sans-serif" w:hAnsi="Times New Roman;sans-serif"/>
          <w:b w:val="false"/>
          <w:color w:val="212529"/>
          <w:sz w:val="20"/>
        </w:rPr>
      </w:pPr>
      <w:r>
        <w:rPr>
          <w:rFonts w:ascii="Times New Roman;sans-serif" w:hAnsi="Times New Roman;sans-serif"/>
          <w:b w:val="false"/>
          <w:color w:val="212529"/>
          <w:sz w:val="20"/>
        </w:rPr>
        <w:t>All defined terms under Rule 4-10(a) of Regulation S-X shall have their statutorily prescribed meanings when used in this Quarterly Report on Form 10-Q. As used herein:</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b/d” means barrels of oil or NGLs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bbl” or “bbls” means barrel or barrels of oil or NGLs.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bcf” means billion cubic feet of natural gas.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bcf/d” means one bcf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boe” means barrel of oil equivalent, determined by using the ratio of one barrel of oil or NGLs to six Mcf of gas.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boe/d” means boe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Btu” means a British thermal unit, a measure of heating value.</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liquids” means oil and NGLs.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LNG” means liquefied natural gas.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Mb/d” means Mbbls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Mbbls” means thousand barrels of oil or NGLs.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Mboe” means thousand boe.</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Mboe/d” means Mboe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Mcf” means thousand cubic feet of natural gas.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Mcf/d” means Mcf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MMbbls” means million barrels of oil or NGLs.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MMboe” means million boe.</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MMBtu” means million Btu.</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MMBtu/d” means MMBtu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MMcf” means million cubic feet of natural gas.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MMcf/d” means MMcf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NGL” or “NGLs” means natural gas liquids, which are expressed in barrels.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NYMEX” means New York Mercantile Exchange.</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oil” includes crude oil and condensate.</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PUD” means proved undeveloped.</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SEC” means the United States Securities and Exchange Commission.</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Tcf” means trillion cubic feet of natural gas.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U.K.” means United Kingdom.</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U.S.” means United States.</w:t>
      </w:r>
    </w:p>
    <w:p>
      <w:pPr>
        <w:pStyle w:val="TextBody"/>
        <w:bidi w:val="0"/>
        <w:spacing w:lineRule="auto" w:line="288" w:before="200" w:after="283"/>
        <w:ind w:left="0" w:right="0" w:firstLine="495"/>
        <w:jc w:val="both"/>
        <w:rPr>
          <w:rFonts w:ascii="Times New Roman;sans-serif" w:hAnsi="Times New Roman;sans-serif"/>
          <w:b w:val="false"/>
          <w:color w:val="212529"/>
          <w:sz w:val="20"/>
        </w:rPr>
      </w:pPr>
      <w:r>
        <w:rPr>
          <w:rFonts w:ascii="Times New Roman;sans-serif" w:hAnsi="Times New Roman;sans-serif"/>
          <w:b w:val="false"/>
          <w:color w:val="212529"/>
          <w:sz w:val="20"/>
        </w:rPr>
        <w:t>With respect to information relating to the Company’s working interest in wells or acreage, “net” oil and gas wells or acreage is determined by multiplying gross wells or acreage by the Company’s working interest therein. Unless otherwise specified, all references to wells and acres are gross.</w:t>
      </w:r>
    </w:p>
    <w:p>
      <w:pPr>
        <w:pStyle w:val="TextBody"/>
        <w:bidi w:val="0"/>
        <w:spacing w:lineRule="auto" w:line="288" w:before="200" w:after="283"/>
        <w:ind w:left="0" w:right="0" w:firstLine="495"/>
        <w:jc w:val="both"/>
        <w:rPr>
          <w:rFonts w:ascii="Times New Roman;sans-serif" w:hAnsi="Times New Roman;sans-serif"/>
          <w:b w:val="false"/>
          <w:color w:val="212529"/>
          <w:sz w:val="20"/>
        </w:rPr>
      </w:pPr>
      <w:r>
        <w:rPr>
          <w:rFonts w:ascii="Times New Roman;sans-serif" w:hAnsi="Times New Roman;sans-serif"/>
          <w:b w:val="false"/>
          <w:color w:val="212529"/>
          <w:sz w:val="20"/>
        </w:rPr>
        <w:t>References to “APA,” the “Company,” “we,” “us,” and “our” refer to APA Corporation and its consolidated subsidiaries, including Apache Corporation, unless otherwise specifically stated. References to “Apache” refer to Apache Corporation, the Company’s wholly owned subsidiary, and its consolidated subsidiaries, unless otherwise specifically 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APA CORPORATION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STATEMENT OF CONSOLIDATED OPERATIONS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029"/>
        <w:gridCol w:w="1601"/>
        <w:gridCol w:w="1610"/>
        <w:gridCol w:w="109"/>
        <w:gridCol w:w="109"/>
        <w:gridCol w:w="109"/>
        <w:gridCol w:w="196"/>
        <w:gridCol w:w="556"/>
        <w:gridCol w:w="109"/>
        <w:gridCol w:w="109"/>
        <w:gridCol w:w="109"/>
        <w:gridCol w:w="109"/>
        <w:gridCol w:w="196"/>
        <w:gridCol w:w="556"/>
        <w:gridCol w:w="109"/>
        <w:gridCol w:w="109"/>
        <w:gridCol w:w="109"/>
        <w:gridCol w:w="109"/>
        <w:gridCol w:w="211"/>
        <w:gridCol w:w="600"/>
        <w:gridCol w:w="117"/>
        <w:gridCol w:w="117"/>
        <w:gridCol w:w="117"/>
        <w:gridCol w:w="117"/>
        <w:gridCol w:w="211"/>
        <w:gridCol w:w="600"/>
        <w:gridCol w:w="172"/>
      </w:tblGrid>
      <w:tr>
        <w:trPr/>
        <w:tc>
          <w:tcPr>
            <w:tcW w:w="2029"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5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share data)</w:t>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Oil, natural gas, and natural gas liquids production revenues</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Purchased oil and gas sales</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7,025 </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6,112 </w:t>
            </w:r>
          </w:p>
        </w:tc>
        <w:tc>
          <w:tcPr>
            <w:tcW w:w="1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 gains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divestitures,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previously sold Gulf of Mexico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7,235 </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6,300 </w:t>
            </w:r>
          </w:p>
        </w:tc>
        <w:tc>
          <w:tcPr>
            <w:tcW w:w="17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Lease operating expenses</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Gathering, processing, and transmission</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Purchased oil and gas costs</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reorganization, and separation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6,200 </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3,957 </w:t>
            </w:r>
          </w:p>
        </w:tc>
        <w:tc>
          <w:tcPr>
            <w:tcW w:w="1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1,035 </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2,343 </w:t>
            </w:r>
          </w:p>
        </w:tc>
        <w:tc>
          <w:tcPr>
            <w:tcW w:w="17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INCLUDING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1,343 </w:t>
            </w:r>
          </w:p>
        </w:tc>
        <w:tc>
          <w:tcPr>
            <w:tcW w:w="1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1,082 </w:t>
            </w:r>
          </w:p>
        </w:tc>
        <w:tc>
          <w:tcPr>
            <w:tcW w:w="1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ans-serif" w:hAnsi="Times New Roman;sans-serif"/>
          <w:b w:val="false"/>
          <w:color w:val="000000"/>
          <w:sz w:val="16"/>
        </w:rPr>
        <w:t xml:space="preserve">(1)    For transactions with Kinetik prior to the Company’s sale of its remaining shares of Kinetik Class A Common Stock and the resignation of the Company’s designated director from the Kinetik board of directors, refer to </w:t>
      </w:r>
      <w:hyperlink w:anchor="i157ee99daef34ad8b761272c789e67a2_61">
        <w:r>
          <w:rPr>
            <w:rStyle w:val="InternetLink"/>
            <w:rFonts w:ascii="Times New Roman;sans-serif" w:hAnsi="Times New Roman;sans-serif"/>
            <w:b w:val="false"/>
            <w:color w:val="0000FF"/>
            <w:sz w:val="16"/>
            <w:u w:val="single"/>
          </w:rPr>
          <w:t>Note 6—Equity Method Interests</w:t>
        </w:r>
      </w:hyperlink>
      <w:r>
        <w:rPr>
          <w:rFonts w:ascii="Times New Roman;sans-serif" w:hAnsi="Times New Roman;sans-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42290"/>
                <wp:effectExtent l="0" t="0" r="0" b="0"/>
                <wp:wrapNone/>
                <wp:docPr id="6" name="Frame6"/>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APA CORPORATION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STATEMENT OF CONSOLIDATED COMPREHENSIVE INCOME (LOSS)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988"/>
        <w:gridCol w:w="1746"/>
        <w:gridCol w:w="1752"/>
        <w:gridCol w:w="109"/>
        <w:gridCol w:w="109"/>
        <w:gridCol w:w="109"/>
        <w:gridCol w:w="197"/>
        <w:gridCol w:w="483"/>
        <w:gridCol w:w="109"/>
        <w:gridCol w:w="109"/>
        <w:gridCol w:w="109"/>
        <w:gridCol w:w="109"/>
        <w:gridCol w:w="197"/>
        <w:gridCol w:w="423"/>
        <w:gridCol w:w="109"/>
        <w:gridCol w:w="109"/>
        <w:gridCol w:w="109"/>
        <w:gridCol w:w="109"/>
        <w:gridCol w:w="221"/>
        <w:gridCol w:w="475"/>
        <w:gridCol w:w="122"/>
        <w:gridCol w:w="122"/>
        <w:gridCol w:w="122"/>
        <w:gridCol w:w="122"/>
        <w:gridCol w:w="221"/>
        <w:gridCol w:w="628"/>
        <w:gridCol w:w="187"/>
      </w:tblGrid>
      <w:tr>
        <w:trPr/>
        <w:tc>
          <w:tcPr>
            <w:tcW w:w="1988"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5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INCLUDING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postretirement benefit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INCLUDING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1,346 </w:t>
            </w:r>
          </w:p>
        </w:tc>
        <w:tc>
          <w:tcPr>
            <w:tcW w:w="18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1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8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42290"/>
                <wp:effectExtent l="0" t="0" r="0" b="0"/>
                <wp:wrapNone/>
                <wp:docPr id="7" name="Frame7"/>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APA CORPORATION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STATEMENT OF CONSOLIDATED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8348" w:type="dxa"/>
        <w:jc w:val="center"/>
        <w:tblInd w:w="0" w:type="dxa"/>
        <w:tblLayout w:type="fixed"/>
        <w:tblCellMar>
          <w:top w:w="28" w:type="dxa"/>
          <w:left w:w="28" w:type="dxa"/>
          <w:bottom w:w="28" w:type="dxa"/>
          <w:right w:w="28" w:type="dxa"/>
        </w:tblCellMar>
      </w:tblPr>
      <w:tblGrid>
        <w:gridCol w:w="2070"/>
        <w:gridCol w:w="1818"/>
        <w:gridCol w:w="1827"/>
        <w:gridCol w:w="109"/>
        <w:gridCol w:w="109"/>
        <w:gridCol w:w="109"/>
        <w:gridCol w:w="231"/>
        <w:gridCol w:w="496"/>
        <w:gridCol w:w="128"/>
        <w:gridCol w:w="128"/>
        <w:gridCol w:w="128"/>
        <w:gridCol w:w="128"/>
        <w:gridCol w:w="231"/>
        <w:gridCol w:w="655"/>
        <w:gridCol w:w="181"/>
      </w:tblGrid>
      <w:tr>
        <w:trPr/>
        <w:tc>
          <w:tcPr>
            <w:tcW w:w="207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including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Unrealized derivative instrument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on divestitures,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Exploratory dry hole expense and unproved leasehold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depletion,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retirement obligation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Benefit from 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previously sold Gulf of Mexico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Drilling advances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charges and 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credits and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2,584 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2,099 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Additions to upstream oil and gas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(2,153)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Leasehold and property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asset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sale of Kinetik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(1,007)</w:t>
            </w:r>
          </w:p>
        </w:tc>
        <w:tc>
          <w:tcPr>
            <w:tcW w:w="1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(1,782)</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commercial paper and revolving credit facilities,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Payments on 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Payment on Callon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Payments on fixed-rate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Treasury stock activity,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paid to APA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(1,600)</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(467)</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5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SUPPLEMENTARY CASH FLOW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paid, net of 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paid,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42290"/>
                <wp:effectExtent l="0" t="0" r="0" b="0"/>
                <wp:wrapNone/>
                <wp:docPr id="8" name="Frame8"/>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APA CORPORATION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BALANCE SHEET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698"/>
        <w:gridCol w:w="2263"/>
        <w:gridCol w:w="2283"/>
        <w:gridCol w:w="109"/>
        <w:gridCol w:w="109"/>
        <w:gridCol w:w="109"/>
        <w:gridCol w:w="237"/>
        <w:gridCol w:w="784"/>
        <w:gridCol w:w="131"/>
        <w:gridCol w:w="109"/>
        <w:gridCol w:w="109"/>
        <w:gridCol w:w="109"/>
        <w:gridCol w:w="226"/>
        <w:gridCol w:w="746"/>
        <w:gridCol w:w="183"/>
      </w:tblGrid>
      <w:tr>
        <w:trPr/>
        <w:tc>
          <w:tcPr>
            <w:tcW w:w="2698"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share data)</w:t>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net of allowance of $120 and $114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current assets (</w:t>
            </w:r>
            <w:hyperlink w:anchor="i157ee99daef34ad8b761272c789e67a2_58">
              <w:r>
                <w:rPr>
                  <w:rStyle w:val="InternetLink"/>
                  <w:rFonts w:ascii="Times New Roman;sans-serif" w:hAnsi="Times New Roman;sans-serif"/>
                  <w:b w:val="false"/>
                  <w:color w:val="0000FF"/>
                  <w:sz w:val="18"/>
                  <w:u w:val="single"/>
                </w:rPr>
                <w:t>Note 5</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2,462 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44,026 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44,860 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Gathering, processing, and transmission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12,601 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10,038 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Equity method interests (</w:t>
            </w:r>
            <w:hyperlink w:anchor="i157ee99daef34ad8b761272c789e67a2_61">
              <w:r>
                <w:rPr>
                  <w:rStyle w:val="InternetLink"/>
                  <w:rFonts w:ascii="Times New Roman;sans-serif" w:hAnsi="Times New Roman;sans-serif"/>
                  <w:b w:val="false"/>
                  <w:color w:val="0000FF"/>
                  <w:sz w:val="18"/>
                  <w:u w:val="single"/>
                </w:rPr>
                <w:t>Note 6</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Decommissioning security for sold Gulf of Mexico properties (</w:t>
            </w:r>
            <w:hyperlink w:anchor="i157ee99daef34ad8b761272c789e67a2_79">
              <w:r>
                <w:rPr>
                  <w:rStyle w:val="InternetLink"/>
                  <w:rFonts w:ascii="Times New Roman;sans-serif" w:hAnsi="Times New Roman;sans-serif"/>
                  <w:b w:val="false"/>
                  <w:color w:val="0000FF"/>
                  <w:sz w:val="18"/>
                  <w:u w:val="single"/>
                </w:rPr>
                <w:t>Note 11</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Deferred tax asset (</w:t>
            </w:r>
            <w:hyperlink w:anchor="i157ee99daef34ad8b761272c789e67a2_76">
              <w:r>
                <w:rPr>
                  <w:rStyle w:val="InternetLink"/>
                  <w:rFonts w:ascii="Times New Roman;sans-serif" w:hAnsi="Times New Roman;sans-serif"/>
                  <w:b w:val="false"/>
                  <w:color w:val="0000FF"/>
                  <w:sz w:val="18"/>
                  <w:u w:val="single"/>
                </w:rPr>
                <w:t>Note 10</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charges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19,376 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15,244 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LIABILITIES, NONCONTROLLING INTERESTS,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current liabilities (</w:t>
            </w:r>
            <w:hyperlink w:anchor="i157ee99daef34ad8b761272c789e67a2_64">
              <w:r>
                <w:rPr>
                  <w:rStyle w:val="InternetLink"/>
                  <w:rFonts w:ascii="Times New Roman;sans-serif" w:hAnsi="Times New Roman;sans-serif"/>
                  <w:b w:val="false"/>
                  <w:color w:val="0000FF"/>
                  <w:sz w:val="18"/>
                  <w:u w:val="single"/>
                </w:rPr>
                <w:t>Note 7</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2,925 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LONG-TERM DEBT (</w:t>
            </w:r>
            <w:hyperlink w:anchor="i157ee99daef34ad8b761272c789e67a2_70">
              <w:r>
                <w:rPr>
                  <w:rStyle w:val="InternetLink"/>
                  <w:rFonts w:ascii="Times New Roman;sans-serif" w:hAnsi="Times New Roman;sans-serif"/>
                  <w:b w:val="false"/>
                  <w:color w:val="0000FF"/>
                  <w:sz w:val="18"/>
                  <w:u w:val="single"/>
                </w:rPr>
                <w:t>Note 9</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6,370 </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5,186 </w:t>
            </w:r>
          </w:p>
        </w:tc>
        <w:tc>
          <w:tcPr>
            <w:tcW w:w="18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CREDITS AND 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Deferred tax liability (</w:t>
            </w:r>
            <w:hyperlink w:anchor="i157ee99daef34ad8b761272c789e67a2_76">
              <w:r>
                <w:rPr>
                  <w:rStyle w:val="InternetLink"/>
                  <w:rFonts w:ascii="Times New Roman;sans-serif" w:hAnsi="Times New Roman;sans-serif"/>
                  <w:b w:val="false"/>
                  <w:color w:val="0000FF"/>
                  <w:sz w:val="18"/>
                  <w:u w:val="single"/>
                </w:rPr>
                <w:t>Note 10</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Asset retirement obligation (</w:t>
            </w:r>
            <w:hyperlink w:anchor="i157ee99daef34ad8b761272c789e67a2_67">
              <w:r>
                <w:rPr>
                  <w:rStyle w:val="InternetLink"/>
                  <w:rFonts w:ascii="Times New Roman;sans-serif" w:hAnsi="Times New Roman;sans-serif"/>
                  <w:b w:val="false"/>
                  <w:color w:val="0000FF"/>
                  <w:sz w:val="18"/>
                  <w:u w:val="single"/>
                </w:rPr>
                <w:t>Note 8</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Decommissioning contingency for sold Gulf of Mexico properties (</w:t>
            </w:r>
            <w:hyperlink w:anchor="i157ee99daef34ad8b761272c789e67a2_79">
              <w:r>
                <w:rPr>
                  <w:rStyle w:val="InternetLink"/>
                  <w:rFonts w:ascii="Times New Roman;sans-serif" w:hAnsi="Times New Roman;sans-serif"/>
                  <w:b w:val="false"/>
                  <w:color w:val="0000FF"/>
                  <w:sz w:val="18"/>
                  <w:u w:val="single"/>
                </w:rPr>
                <w:t>Note 11</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3,921 </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3,963 </w:t>
            </w:r>
          </w:p>
        </w:tc>
        <w:tc>
          <w:tcPr>
            <w:tcW w:w="18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$0.625 par, 860,000,000 shares authorized, 491,531,484 and 420,595,901 shares issued,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121,613,494 and 117,020,000 shares,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APA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5,114 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2,655 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6,160 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3,691 </w:t>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19,376 </w:t>
            </w:r>
          </w:p>
        </w:tc>
        <w:tc>
          <w:tcPr>
            <w:tcW w:w="1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15,244 </w:t>
            </w:r>
          </w:p>
        </w:tc>
        <w:tc>
          <w:tcPr>
            <w:tcW w:w="18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both"/>
        <w:rPr/>
      </w:pPr>
      <w:r>
        <w:rPr/>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42290"/>
                <wp:effectExtent l="0" t="0" r="0" b="0"/>
                <wp:wrapNone/>
                <wp:docPr id="9" name="Frame9"/>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APA CORPORATION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STATEMENT OF CONSOLIDATED CHANGES IN EQUITY AND NONCONTROLLING INTERESTS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2382" w:type="dxa"/>
        <w:jc w:val="left"/>
        <w:tblInd w:w="0" w:type="dxa"/>
        <w:tblLayout w:type="fixed"/>
        <w:tblCellMar>
          <w:top w:w="28" w:type="dxa"/>
          <w:left w:w="28" w:type="dxa"/>
          <w:bottom w:w="28" w:type="dxa"/>
          <w:right w:w="28" w:type="dxa"/>
        </w:tblCellMar>
      </w:tblPr>
      <w:tblGrid>
        <w:gridCol w:w="681"/>
        <w:gridCol w:w="282"/>
        <w:gridCol w:w="283"/>
        <w:gridCol w:w="109"/>
        <w:gridCol w:w="109"/>
        <w:gridCol w:w="109"/>
        <w:gridCol w:w="206"/>
        <w:gridCol w:w="444"/>
        <w:gridCol w:w="116"/>
        <w:gridCol w:w="109"/>
        <w:gridCol w:w="109"/>
        <w:gridCol w:w="109"/>
        <w:gridCol w:w="196"/>
        <w:gridCol w:w="646"/>
        <w:gridCol w:w="109"/>
        <w:gridCol w:w="109"/>
        <w:gridCol w:w="109"/>
        <w:gridCol w:w="109"/>
        <w:gridCol w:w="235"/>
        <w:gridCol w:w="685"/>
        <w:gridCol w:w="131"/>
        <w:gridCol w:w="109"/>
        <w:gridCol w:w="109"/>
        <w:gridCol w:w="109"/>
        <w:gridCol w:w="196"/>
        <w:gridCol w:w="571"/>
        <w:gridCol w:w="109"/>
        <w:gridCol w:w="109"/>
        <w:gridCol w:w="109"/>
        <w:gridCol w:w="109"/>
        <w:gridCol w:w="374"/>
        <w:gridCol w:w="632"/>
        <w:gridCol w:w="210"/>
        <w:gridCol w:w="109"/>
        <w:gridCol w:w="109"/>
        <w:gridCol w:w="109"/>
        <w:gridCol w:w="338"/>
        <w:gridCol w:w="959"/>
        <w:gridCol w:w="189"/>
        <w:gridCol w:w="109"/>
        <w:gridCol w:w="109"/>
        <w:gridCol w:w="109"/>
        <w:gridCol w:w="273"/>
        <w:gridCol w:w="775"/>
        <w:gridCol w:w="153"/>
        <w:gridCol w:w="109"/>
        <w:gridCol w:w="109"/>
        <w:gridCol w:w="109"/>
        <w:gridCol w:w="196"/>
        <w:gridCol w:w="556"/>
        <w:gridCol w:w="221"/>
      </w:tblGrid>
      <w:tr>
        <w:trPr/>
        <w:tc>
          <w:tcPr>
            <w:tcW w:w="6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APA SHAREHOLDERS’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Noncontrolling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Quarter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ans-serif" w:hAnsi="Times New Roman;sans-serif"/>
                <w:b w:val="false"/>
                <w:color w:val="000000"/>
                <w:sz w:val="16"/>
              </w:rPr>
            </w:pPr>
            <w:r>
              <w:rPr>
                <w:rFonts w:ascii="Times New Roman;sans-serif" w:hAnsi="Times New Roman;sans-serif"/>
                <w:b w:val="false"/>
                <w:color w:val="000000"/>
                <w:sz w:val="16"/>
              </w:rPr>
              <w:t>Common dividends declared ($0.25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activity,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11,197 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(4,732)</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1,078 </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1,029 </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2,107 </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Quarter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dividends declared ($0.25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activity,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(2,509)</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5,114 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6,160 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both"/>
        <w:rPr/>
      </w:pPr>
      <w:r>
        <w:rPr/>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42290"/>
                <wp:effectExtent l="0" t="0" r="0" b="0"/>
                <wp:wrapNone/>
                <wp:docPr id="10" name="Frame10"/>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APA CORPORATION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STATEMENT OF CONSOLIDATED CHANGES IN EQUITY AND NONCONTROLLING INTERESTS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2225" w:type="dxa"/>
        <w:jc w:val="left"/>
        <w:tblInd w:w="0" w:type="dxa"/>
        <w:tblLayout w:type="fixed"/>
        <w:tblCellMar>
          <w:top w:w="28" w:type="dxa"/>
          <w:left w:w="28" w:type="dxa"/>
          <w:bottom w:w="28" w:type="dxa"/>
          <w:right w:w="28" w:type="dxa"/>
        </w:tblCellMar>
      </w:tblPr>
      <w:tblGrid>
        <w:gridCol w:w="591"/>
        <w:gridCol w:w="282"/>
        <w:gridCol w:w="283"/>
        <w:gridCol w:w="109"/>
        <w:gridCol w:w="109"/>
        <w:gridCol w:w="109"/>
        <w:gridCol w:w="206"/>
        <w:gridCol w:w="444"/>
        <w:gridCol w:w="116"/>
        <w:gridCol w:w="109"/>
        <w:gridCol w:w="109"/>
        <w:gridCol w:w="109"/>
        <w:gridCol w:w="196"/>
        <w:gridCol w:w="646"/>
        <w:gridCol w:w="109"/>
        <w:gridCol w:w="109"/>
        <w:gridCol w:w="109"/>
        <w:gridCol w:w="109"/>
        <w:gridCol w:w="235"/>
        <w:gridCol w:w="685"/>
        <w:gridCol w:w="131"/>
        <w:gridCol w:w="109"/>
        <w:gridCol w:w="109"/>
        <w:gridCol w:w="109"/>
        <w:gridCol w:w="196"/>
        <w:gridCol w:w="571"/>
        <w:gridCol w:w="109"/>
        <w:gridCol w:w="109"/>
        <w:gridCol w:w="109"/>
        <w:gridCol w:w="109"/>
        <w:gridCol w:w="374"/>
        <w:gridCol w:w="632"/>
        <w:gridCol w:w="210"/>
        <w:gridCol w:w="109"/>
        <w:gridCol w:w="109"/>
        <w:gridCol w:w="109"/>
        <w:gridCol w:w="338"/>
        <w:gridCol w:w="959"/>
        <w:gridCol w:w="189"/>
        <w:gridCol w:w="109"/>
        <w:gridCol w:w="109"/>
        <w:gridCol w:w="109"/>
        <w:gridCol w:w="273"/>
        <w:gridCol w:w="775"/>
        <w:gridCol w:w="153"/>
        <w:gridCol w:w="109"/>
        <w:gridCol w:w="109"/>
        <w:gridCol w:w="109"/>
        <w:gridCol w:w="196"/>
        <w:gridCol w:w="55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APA</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SHAREHOLDERS’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Noncontrolling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2" w:type="dxa"/>
            <w:gridSpan w:val="4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Nine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 Egypt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 Egypt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dividends declared ($0.75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activity,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11,197 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(4,732)</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1,078 </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1,029 </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Nine Months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 Egypt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 Egypt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dividends declared ($0.75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activity,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13,239 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(2,509)</w:t>
            </w:r>
          </w:p>
        </w:tc>
        <w:tc>
          <w:tcPr>
            <w:tcW w:w="1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(5,937)</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5,114 </w:t>
            </w:r>
          </w:p>
        </w:tc>
        <w:tc>
          <w:tcPr>
            <w:tcW w:w="18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1,046 </w:t>
            </w:r>
          </w:p>
        </w:tc>
        <w:tc>
          <w:tcPr>
            <w:tcW w:w="15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6,160 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both"/>
        <w:rPr/>
      </w:pPr>
      <w:r>
        <w:rPr/>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42290"/>
                <wp:effectExtent l="0" t="0" r="0" b="0"/>
                <wp:wrapNone/>
                <wp:docPr id="11" name="Frame11"/>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APA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have been prepared by APA Corporation (APA or the Company) without audit, pursuant to the rules and regulations of the Securities and Exchange Commission (SEC). They reflect all adjustments that are, in the opinion of management, necessary for a fair presentation of the results for the interim periods, on a basis consistent with the annual audited financial statements, with the exception of any recently adopted accounting pronouncements. All such adjustments are of a normal recurring nature. Certain information, accounting policies, and footnote disclosures normally included in financial statements prepared in accordance with accounting principles generally accepted in the United States (GAAP) have been condensed or omitted pursuant to such rules and regulations, although the Company believes that the disclosures are adequate to make the information presented not misleading. This Quarterly Report on Form 10-Q should be read along with the Company’s Annual Report on Form 10-K for the fiscal year ended December 31, 2023, which contains a summary of the Company’s significant accounting policies and other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    SUMMARY OF SIGNIFICANT ACCOUNTING POLICIES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Company's significant accounting policies are consistent with those discussed in Note 1—Summary of Significant Accounting Policies of the Notes to Consolidated Financial Statements contained in the Company’s Annual Report on Form 10-K for the fiscal year ended December 31, 2023. The Company’s financial statements for prior periods may include reclassifications that were made to conform to the current-year presentation.</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Principles of Consolidation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the accounts of APA and its subsidiaries after elimination of intercompany balances and transactions.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undivided interests in oil and gas exploration and production ventures and partnerships are proportionately consolidated. The Company consolidates all other investments in which, either through direct or indirect ownership, it has more than a 50 percent voting interest or controls the financial and operating decisions.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Sinopec International Petroleum Exploration and Production Corporation (Sinopec) owns a one-third minority participation in the Company’s consolidated Egypt oil and gas business as a noncontrolling interest, which is reflected as a separate noncontrolling interest component of equity in the Company’s consolidated balance sheet. The Company has determined that a limited partnership and APA subsidiary, which has control over APA’s Egyptian operations, qualifies as a variable interest entity (VIE) under GAAP. Apache consolidates the activities of APA’s Egyptian operations because it has concluded that a wholly owned subsidiary has a controlling financial interest in APA’s Egyptian operations and was determined to be the primary beneficiary of the VIE.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which the Company has significant influence, but not control, are accounted for under the equity method of accounting. During the nine months ended September 30, 2023 and the quarter ended March 31, 2024, the Company had a designated director on the Kinetik Holdings Inc. (Kinetik) board of directors. The Company’s designated director resigned from the Kinetik board of directors on April 3, 2024. As a result, the Company is considered to have had significant influence over Kinetik during the periods presented prior to the designated director’s resignation from the Kinetik board of directors.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As of December 31, 2023, the Company held shares of Kinetik Class A Common Stock (Kinetik Shares), which were recorded separately as “Equity method interests” in the Company’s consolidated balance sheet. On March 18, 2024, the Company sold its remaining Kinetik Shares. Refer to </w:t>
      </w:r>
      <w:hyperlink w:anchor="i157ee99daef34ad8b761272c789e67a2_61">
        <w:r>
          <w:rPr>
            <w:rStyle w:val="InternetLink"/>
            <w:rFonts w:ascii="Times New Roman;sans-serif" w:hAnsi="Times New Roman;sans-serif"/>
            <w:b w:val="false"/>
            <w:color w:val="0000FF"/>
            <w:sz w:val="20"/>
            <w:u w:val="single"/>
          </w:rPr>
          <w:t>Note 6—Equity Method Interests</w:t>
        </w:r>
      </w:hyperlink>
      <w:r>
        <w:rPr>
          <w:color w:val="000000"/>
        </w:rPr>
        <w:t xml:space="preserve"> </w:t>
      </w:r>
      <w:r>
        <w:rPr>
          <w:rFonts w:ascii="Times New Roman;sans-serif" w:hAnsi="Times New Roman;sans-serif"/>
          <w:b w:val="false"/>
          <w:color w:val="000000"/>
          <w:sz w:val="20"/>
        </w:rPr>
        <w:t>for further detail.</w:t>
      </w:r>
    </w:p>
    <w:p>
      <w:pPr>
        <w:pStyle w:val="TextBody"/>
        <w:bidi w:val="0"/>
        <w:spacing w:before="200" w:after="283"/>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Use of Estimates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Preparation of financial statements in conformity with GAAP and disclosure of contingent assets and liabilities requires management to make estimates and assumptions that affect the reported amounts of assets and liabilities at the date of the financial statements and the reported amounts of revenues and expenses during the reporting period. The Company bases its estimates on historical experience and various other assumptions that are believed to be reasonable under the circumstances, the results of which form the basis for making judgments about carrying values of assets and liabilities that are not readily apparent from other sources. The Company evaluates its estimates and assumptions on a regular basis. Actual results may differ from these estimates and assumptions used in preparation of the Company’s financial statements, and changes in these estimates are recorded when known. </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Significant estimates with regard to these financial statements include the estimates of fair value for long-lived assets (refer to “Fair Value Measurements” and “Property and Equipment” sections in this Note 1 below), the fair value determination of acquired assets and liabilities (refer to </w:t>
      </w:r>
      <w:hyperlink w:anchor="i157ee99daef34ad8b761272c789e67a2_49">
        <w:r>
          <w:rPr>
            <w:rStyle w:val="InternetLink"/>
            <w:rFonts w:ascii="Times New Roman;sans-serif" w:hAnsi="Times New Roman;sans-serif"/>
            <w:b w:val="false"/>
            <w:color w:val="0000FF"/>
            <w:sz w:val="20"/>
            <w:u w:val="single"/>
          </w:rPr>
          <w:t>Note 2—Acquisitions and Divestitures</w:t>
        </w:r>
      </w:hyperlink>
      <w:r>
        <w:rPr>
          <w:rFonts w:ascii="Times New Roman;sans-serif" w:hAnsi="Times New Roman;sans-serif"/>
          <w:b w:val="false"/>
          <w:color w:val="000000"/>
          <w:sz w:val="20"/>
        </w:rPr>
        <w:t xml:space="preserve">), the assessment of asset retirement obligations (refer to </w:t>
      </w:r>
      <w:hyperlink w:anchor="i157ee99daef34ad8b761272c789e67a2_67">
        <w:r>
          <w:rPr>
            <w:rStyle w:val="InternetLink"/>
            <w:rFonts w:ascii="Times New Roman;sans-serif" w:hAnsi="Times New Roman;sans-serif"/>
            <w:b w:val="false"/>
            <w:color w:val="0000FF"/>
            <w:sz w:val="20"/>
            <w:u w:val="single"/>
          </w:rPr>
          <w:t>Note 8—Asset Retirement Obligation</w:t>
        </w:r>
      </w:hyperlink>
      <w:r>
        <w:rPr>
          <w:rFonts w:ascii="Times New Roman;sans-serif" w:hAnsi="Times New Roman;sans-serif"/>
          <w:b w:val="false"/>
          <w:color w:val="000000"/>
          <w:sz w:val="20"/>
        </w:rPr>
        <w:t xml:space="preserve">), the estimate of income taxes (refer to </w:t>
      </w:r>
      <w:hyperlink w:anchor="i157ee99daef34ad8b761272c789e67a2_76">
        <w:r>
          <w:rPr>
            <w:rStyle w:val="InternetLink"/>
            <w:rFonts w:ascii="Times New Roman;sans-serif" w:hAnsi="Times New Roman;sans-serif"/>
            <w:b w:val="false"/>
            <w:color w:val="0000FF"/>
            <w:sz w:val="20"/>
            <w:u w:val="single"/>
          </w:rPr>
          <w:t>Note 10—Income Taxes</w:t>
        </w:r>
      </w:hyperlink>
      <w:r>
        <w:rPr>
          <w:rFonts w:ascii="Times New Roman;sans-serif" w:hAnsi="Times New Roman;sans-serif"/>
          <w:b w:val="false"/>
          <w:color w:val="000000"/>
          <w:sz w:val="20"/>
        </w:rPr>
        <w:t xml:space="preserve">), the estimation of the contingent liability representing Apache’s potential decommissioning obligations on sold properties in the Gulf of Mexico (refer to </w:t>
      </w:r>
      <w:hyperlink w:anchor="i157ee99daef34ad8b761272c789e67a2_79">
        <w:r>
          <w:rPr>
            <w:rStyle w:val="InternetLink"/>
            <w:rFonts w:ascii="Times New Roman;sans-serif" w:hAnsi="Times New Roman;sans-serif"/>
            <w:b w:val="false"/>
            <w:color w:val="0000FF"/>
            <w:sz w:val="20"/>
            <w:u w:val="single"/>
          </w:rPr>
          <w:t>Note 11—Commitments and Contingencies</w:t>
        </w:r>
      </w:hyperlink>
      <w:r>
        <w:rPr>
          <w:rFonts w:ascii="Times New Roman;sans-serif" w:hAnsi="Times New Roman;sans-serif"/>
          <w:b w:val="false"/>
          <w:color w:val="000000"/>
          <w:sz w:val="20"/>
        </w:rPr>
        <w:t>), and the estimate of proved oil and gas reserves and related present value estimates of future net cash flows therefrom.</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Fair Value Measurements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Certain assets and liabilities are reported at fair value on a recurring basis in the Company’s consolidated balance sheet. Accounting Standards Codification (ASC) 820-10-35, “Fair Value Measurement” (ASC 820), provides a hierarchy that prioritizes and defines the types of inputs used to measure fair value. The fair value hierarchy gives the highest priority to Level 1 inputs, which consist of unadjusted quoted prices for identical instruments in active markets. Level 2 inputs consist of quoted prices for similar instruments. Level 3 valuations are derived from inputs that are significant and unobservable; hence, these valuations have the lowest priority.</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valuation techniques that may be used to measure fair value include a market approach, an income approach, and a cost approach. A market approach uses prices and other relevant information generated by market transactions involving identical or comparable assets or liabilities. An income approach uses valuation techniques to convert future amounts to a single present amount based on current market expectations, including present value techniques, option-pricing models, and the excess earnings method. The cost approach is based on the amount that currently would be required to replace the service capacity of an asset (replacement cost).</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Refer to </w:t>
      </w:r>
      <w:hyperlink w:anchor="i157ee99daef34ad8b761272c789e67a2_55">
        <w:r>
          <w:rPr>
            <w:rStyle w:val="InternetLink"/>
            <w:rFonts w:ascii="Times New Roman;sans-serif" w:hAnsi="Times New Roman;sans-serif"/>
            <w:b w:val="false"/>
            <w:color w:val="0000FF"/>
            <w:sz w:val="20"/>
            <w:u w:val="single"/>
          </w:rPr>
          <w:t>Note 4—Derivative Instruments and Hedging Activities</w:t>
        </w:r>
      </w:hyperlink>
      <w:r>
        <w:rPr>
          <w:rFonts w:ascii="Times New Roman;sans-serif" w:hAnsi="Times New Roman;sans-serif"/>
          <w:b w:val="false"/>
          <w:color w:val="000000"/>
          <w:sz w:val="20"/>
        </w:rPr>
        <w:t xml:space="preserve">, </w:t>
      </w:r>
      <w:hyperlink w:anchor="i157ee99daef34ad8b761272c789e67a2_61">
        <w:r>
          <w:rPr>
            <w:rStyle w:val="InternetLink"/>
            <w:rFonts w:ascii="Times New Roman;sans-serif" w:hAnsi="Times New Roman;sans-serif"/>
            <w:b w:val="false"/>
            <w:color w:val="0000FF"/>
            <w:sz w:val="20"/>
            <w:u w:val="single"/>
          </w:rPr>
          <w:t>Note 6—Equity Method Interests</w:t>
        </w:r>
      </w:hyperlink>
      <w:r>
        <w:rPr>
          <w:rFonts w:ascii="Times New Roman;sans-serif" w:hAnsi="Times New Roman;sans-serif"/>
          <w:b w:val="false"/>
          <w:color w:val="000000"/>
          <w:sz w:val="20"/>
        </w:rPr>
        <w:t xml:space="preserve">, and </w:t>
      </w:r>
      <w:hyperlink w:anchor="i157ee99daef34ad8b761272c789e67a2_70">
        <w:r>
          <w:rPr>
            <w:rStyle w:val="InternetLink"/>
            <w:rFonts w:ascii="Times New Roman;sans-serif" w:hAnsi="Times New Roman;sans-serif"/>
            <w:b w:val="false"/>
            <w:color w:val="0000FF"/>
            <w:sz w:val="20"/>
            <w:u w:val="single"/>
          </w:rPr>
          <w:t>Note 9—Debt and Financing Costs</w:t>
        </w:r>
      </w:hyperlink>
      <w:r>
        <w:rPr>
          <w:color w:val="000000"/>
        </w:rPr>
        <w:t xml:space="preserve"> </w:t>
      </w:r>
      <w:r>
        <w:rPr>
          <w:rFonts w:ascii="Times New Roman;sans-serif" w:hAnsi="Times New Roman;sans-serif"/>
          <w:b w:val="false"/>
          <w:color w:val="000000"/>
          <w:sz w:val="20"/>
        </w:rPr>
        <w:t>for further detail regarding the Company’s fair value measurements recorded on a recurring basis.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uses fair value measurements on a nonrecurring basis when certain qualitative assessments of its assets indicate a potential impairment.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2024, the Company continued its economic assessment of its North Sea assets in light of several new regulatory guidelines and obligations surrounding significant tax levies and modernization of aging infrastructure. The Company determined the expected returns do not economically support making investments required under the combined impact of the regulations, and it will cease production at its facilities in the North Sea prior to 2030. As a result, the Company performed a fair value assessment of the present value of its oil and gas assets in the North Sea as of September 30, 2024. Accordingly, in the third quarter of 2024, the Company recognized impairments of $793 million on certain proved properties in the North Sea, which were written down to their estimated fair values. This impairment is discussed in further detail below in “Property and Equipment — Oil and Gas Property.”</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Additionally, in the third quarter of 2024, the Company entered into an agreement to sell certain non-core U.S. oil and gas producing properties in the Permian Basin. As a result of this agreement, a separate impairment analysis was performed for each of the assets within the disposal group. The analyses were based on the agreed-upon proceeds less costs to sell for the transaction, a Level 1 fair value measurement. The historical carrying value of the net assets to be divested exceeded the fair value implied by the expected net proceeds, resulting in an impairment totaling $315 million on the Company’s proved properties in the U.S. Refer to </w:t>
      </w:r>
      <w:hyperlink w:anchor="i157ee99daef34ad8b761272c789e67a2_49">
        <w:r>
          <w:rPr>
            <w:rStyle w:val="InternetLink"/>
          </w:rPr>
          <w:t xml:space="preserve">Note 2—Acquisitions and </w:t>
        </w:r>
      </w:hyperlink>
      <w:hyperlink w:anchor="i157ee99daef34ad8b761272c789e67a2_49">
        <w:r>
          <w:rPr>
            <w:rStyle w:val="InternetLink"/>
          </w:rPr>
          <w:t>Divestitures</w:t>
        </w:r>
      </w:hyperlink>
      <w:r>
        <w:rPr>
          <w:color w:val="000000"/>
        </w:rPr>
        <w:t xml:space="preserve"> </w:t>
      </w:r>
      <w:r>
        <w:rPr>
          <w:rFonts w:ascii="Times New Roman;sans-serif" w:hAnsi="Times New Roman;sans-serif"/>
          <w:b w:val="false"/>
          <w:color w:val="000000"/>
          <w:sz w:val="20"/>
        </w:rPr>
        <w:t>for more detail.</w:t>
      </w:r>
    </w:p>
    <w:p>
      <w:pPr>
        <w:pStyle w:val="TextBody"/>
        <w:bidi w:val="0"/>
        <w:spacing w:before="200" w:after="283"/>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the Company recorded no asset impairments in connection with fair value assessments.</w:t>
      </w:r>
    </w:p>
    <w:p>
      <w:pPr>
        <w:pStyle w:val="TextBody"/>
        <w:bidi w:val="0"/>
        <w:spacing w:lineRule="auto" w:line="288" w:before="200" w:after="283"/>
        <w:jc w:val="left"/>
        <w:rPr/>
      </w:pPr>
      <w:r>
        <w:rPr>
          <w:rFonts w:ascii="Times New Roman;sans-serif" w:hAnsi="Times New Roman;sans-serif"/>
          <w:b/>
          <w:color w:val="000000"/>
          <w:sz w:val="20"/>
          <w:u w:val="single"/>
        </w:rPr>
        <w:t>Revenue Recognition</w:t>
      </w:r>
      <w:r>
        <w:rPr>
          <w:color w:val="000000"/>
        </w:rPr>
        <w:t xml:space="preserve">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Receivables from contracts with customers, including receivables for purchased oil and gas sales and net of allowance for credit losses, were $1.5 billion at each of September 30, 2024 and December 31, 2023. Payments under all contracts with customers are typically due and received within a short-term period of one year or less, after physical delivery of the product or service has been rendered. In the past year, the Company’s receivable balance from the Egyptian General Petroleum Corporation (EGPC) has gradually increased as payments for the Company’s Egyptian oil and gas sales have been delayed for periods longer than historically experienced. The Company is actively engaged in discussions with the Government of Egypt to resolve the delay in EGPC payments. The Company has received payments throughout the period, and management believes that the Company will be able to collect the total balance of its receivables from this customer.</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Oil and gas production revenues include income taxes that will be paid to the Arab Republic of Egypt by EGPC on behalf of the Company. Revenue and associated expenses related to such tax volumes are recorded as “Oil, natural gas, and natural gas liquids production revenues” and “Current income tax provision,” respectively, in the Company’s statement of consolidated operations.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Refer to </w:t>
      </w:r>
      <w:hyperlink w:anchor="i157ee99daef34ad8b761272c789e67a2_85">
        <w:r>
          <w:rPr>
            <w:rStyle w:val="InternetLink"/>
            <w:rFonts w:ascii="Times New Roman;sans-serif" w:hAnsi="Times New Roman;sans-serif"/>
            <w:b w:val="false"/>
            <w:color w:val="0000FF"/>
            <w:sz w:val="20"/>
            <w:u w:val="single"/>
          </w:rPr>
          <w:t>Note 13—Business Segment Information</w:t>
        </w:r>
      </w:hyperlink>
      <w:r>
        <w:rPr>
          <w:color w:val="000000"/>
        </w:rPr>
        <w:t xml:space="preserve"> </w:t>
      </w:r>
      <w:r>
        <w:rPr>
          <w:rFonts w:ascii="Times New Roman;sans-serif" w:hAnsi="Times New Roman;sans-serif"/>
          <w:b w:val="false"/>
          <w:color w:val="000000"/>
          <w:sz w:val="20"/>
        </w:rPr>
        <w:t>for a disaggregation of oil, gas, and natural gas production revenue by product and reporting segment.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provisions of ASC 606, “Revenue from Contracts with Customers,” variable market prices for each short-term commodity sale are allocated entirely to each performance obligation as the terms of payment relate specifically to the Company’s efforts to satisfy its obligations. As such, the Company has elected the practical expedients available under the standard to not disclose the aggregate transaction price allocated to unsatisfied, or partially unsatisfied, performance obligations as of the end of the reporting period. </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Inventories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consist principally of tubular goods and equipment and are stated at the lower of weighted-average cost or net realizable value. Oil produced but not sold, primarily in the North Sea, is also recorded to inventory and is stated at the lower of the cost to produce or net realizable value. The Company recorded impairments to inventory of $3 million in the third quarter and the nine months ended September 30, 2024 and $46 million in the nine months ended September 30, 2023. </w:t>
      </w:r>
    </w:p>
    <w:p>
      <w:pPr>
        <w:pStyle w:val="TextBody"/>
        <w:bidi w:val="0"/>
        <w:spacing w:lineRule="auto" w:line="288" w:before="200" w:after="283"/>
        <w:jc w:val="both"/>
        <w:rPr/>
      </w:pPr>
      <w:r>
        <w:rPr>
          <w:rFonts w:ascii="Times New Roman;sans-serif" w:hAnsi="Times New Roman;sans-serif"/>
          <w:b/>
          <w:color w:val="000000"/>
          <w:sz w:val="20"/>
          <w:u w:val="single"/>
        </w:rPr>
        <w:t>Property and Equipment</w:t>
      </w:r>
      <w:r>
        <w:rPr>
          <w:color w:val="000000"/>
        </w:rPr>
        <w:t xml:space="preserve">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the Company’s property and equipment represents the cost incurred to acquire the property and equipment, including capitalized interest, net of any impairments. For business combinations and acquisitions, property and equipment cost is based on the fair values at the acquisition date. </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Oil and Gas Property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follows the successful efforts method of accounting for its oil and gas property. Under this method of accounting, exploration costs, production costs, general corporate overhead, and similar activities are expensed as incurred. If an exploratory well provides evidence to justify potential development of reserves, drilling costs associated with the well are initially capitalized, or suspended, pending a determination as to whether a commercially sufficient quantity of proved reserves can be attributed to the area as a result of drilling. At the end of each quarter, management reviews the status of all suspended exploratory well costs in light of ongoing exploration activities, and if management determines that future appraisal drilling or development activities are unlikely to occur, associated suspended exploratory well costs are expensed.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Costs to develop proved reserves, including the costs of all development wells and related equipment used in the production of crude oil and natural gas, are capitalized. Depreciation of the cost of proved oil and gas properties is calculated using the unit-of-production (UOP) method. The UOP calculation multiplies the percentage of estimated proved reserves produced each quarter by the carrying value of associated proved oil and gas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When circumstances indicate that the carrying value of proved oil and gas properties may not be recoverable, the Company compares unamortized capitalized costs to the expected undiscounted pre-tax future cash flows for the associated assets grouped at the lowest level for which identifiable cash flows are independent of cash flows of other assets. If the expected undiscounted pre-tax future cash flows, based on the Company’s estimate of future crude oil and natural gas prices, operating costs, anticipated production from proved reserves and other relevant data, are lower than the unamortized capitalized cost, the capitalized cost is reduced to fair value. Fair value is generally estimated using the income approach described in ASC 820. The expected future cash flows used for impairment reviews and related fair value calculations are typically based on judgmental assessments, a Level 3 fair value measurement.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cessation-of-production dates in the North Sea discussed above in “Fair Value Measurements” significantly altered the Company’s remaining oil and gas reserves in the North Sea and triggered an impairment assessment of the Company’s proved oil and gas properties at the end of the third quarter of 2024. Future production volumes and estimated future commodity prices are the largest drivers in variability of future cash flows. Expected cash flows were estimated based on management’s views of forward pricing as of the balance sheet dates. A discount rate based on a market-based weighted-average cost of capital estimate was applied to the undiscounted cash flow estimate to value the Company’s North Sea assets. In connection with this assessment, the Company recorded impairments totaling $793 million on certain of the Company’s North Sea proved properties to an aggregate fair value of $263 million.</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Additionally, in the third quarter of 2024, the Company recorded impairments totaling $315 million in connection with an agreement to sell certain non-core producing properties in the Permian Basin. These impairments are discussed in further detail above in “Fair Value Measurements” and in </w:t>
      </w:r>
      <w:hyperlink w:anchor="i157ee99daef34ad8b761272c789e67a2_49">
        <w:r>
          <w:rPr>
            <w:rStyle w:val="InternetLink"/>
            <w:rFonts w:ascii="Times New Roman;sans-serif" w:hAnsi="Times New Roman;sans-serif"/>
            <w:b w:val="false"/>
            <w:color w:val="0000FF"/>
            <w:sz w:val="20"/>
            <w:u w:val="single"/>
          </w:rPr>
          <w:t>Note 2—Acquisitions and Divestitures</w:t>
        </w:r>
      </w:hyperlink>
      <w:r>
        <w:rPr>
          <w:rFonts w:ascii="Times New Roman;sans-serif" w:hAnsi="Times New Roman;sans-serif"/>
          <w:b w:val="false"/>
          <w:color w:val="000000"/>
          <w:sz w:val="20"/>
        </w:rPr>
        <w:t>. The associated U.S. properties had an aggregate fair value of $1.1 billion as of September 30, 2024.</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Unproved leasehold impairments are typically recorded as a component of “Exploration” expense in the Company’s statement of consolidated operations. Gains and losses on divestitures of the Company’s oil and gas properties are recognized in the statement of consolidated operations upon closing of the transaction. Refer to </w:t>
      </w:r>
      <w:hyperlink w:anchor="i157ee99daef34ad8b761272c789e67a2_49">
        <w:r>
          <w:rPr>
            <w:rStyle w:val="InternetLink"/>
            <w:rFonts w:ascii="Times New Roman;sans-serif" w:hAnsi="Times New Roman;sans-serif"/>
            <w:b w:val="false"/>
            <w:color w:val="0000FF"/>
            <w:sz w:val="20"/>
            <w:u w:val="single"/>
          </w:rPr>
          <w:t>Note 2—Acquisitions and Divestitures</w:t>
        </w:r>
      </w:hyperlink>
      <w:r>
        <w:rPr>
          <w:color w:val="000000"/>
        </w:rPr>
        <w:t xml:space="preserve"> </w:t>
      </w:r>
      <w:r>
        <w:rPr>
          <w:rFonts w:ascii="Times New Roman;sans-serif" w:hAnsi="Times New Roman;sans-serif"/>
          <w:b w:val="false"/>
          <w:color w:val="000000"/>
          <w:sz w:val="20"/>
        </w:rPr>
        <w:t>for more detail.</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Gathering, Processing, and Transmission (GPT) Facilities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GPT facilities are depreciated on a straight-line basis over the estimated useful lives of the assets. The estimation of useful life takes into consideration anticipated production lives from the fields serviced by the GPT assets, whether APA-operated or third party-operated, as well as potential development plans by the Company for undeveloped acreage within, or close to, those fields.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assesses the carrying amount of its GPT facilities whenever events or changes in circumstances indicate that the carrying amount may not be recoverable. If the carrying amount of these facilities is more than the sum of the undiscounted cash flows, an impairment loss is recognized for the excess of the carrying value over its fair value. </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Transaction, Reorganization, and Separation (TRS)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$14 million and $156 million of TRS costs during the third quarter and the first nine months of 2024, respectively, and $5 million and $11 million of TRS costs during the third quarter and the first nine months of 2023, respectively. TRS costs incurred in the first nine months of 2024 comprised primarily $139 million associated with the Callon acquisition, including $71 million of separation costs and $68 million of transaction and integration costs. </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New Pronouncements Issued But Not Yet Adopted</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2024, the Financial Accounting Standards Board (FASB) issued Accounting Standards Update (ASU) 2024-03, “Income Statement – Reporting Comprehensive Income – Expense Disaggregation Disclosures (Subtopic 220-40),” which expands disclosures around a public entity’s costs and expenses of specific items (i.e. employee compensation, DD&amp;A), requires the inclusion of amounts that are required to be disclosed under GAAP in the same disclosure as other disaggregation requirements, requires qualitative descriptions of amounts remaining in expense captions that are not separately disaggregated quantitatively, and requires disclosure of total selling expenses, and in annual periods, the definition of selling expenses. The amendment does not change or remove existing disclosure requirements. The amendment is effective for fiscal years beginning after December 15, 2026, and interim periods with fiscal years beginning after December 15, 2027. Early adoption is permitted, and the amendment can be adopted prospectively or retrospectively to any or all periods presented in the financial statements. The Company is currently assessing the impact of adopting this standard.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    ACQUISITIONS AND DIVESTITURES</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2024 Activity</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Sale of Non-core Properties in the Permian Basin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10, 2024, APA announced it entered into an agreement to sell non-core producing properties in the Permian Basin to an undisclosed buyer for cash proceeds of $950 million, prior to customary closing adjustments. The properties are located in the Central Basin Platform, Texas and New Mexico Shelf, and Northwest Shelf and currently represent estimated net production of 21,000 barrels of oil equivalent per day, of which approximately 57 percent is oil. Proceeds from this sale are expected to be used primarily to reduce debt. The effective date of the transaction is July 1, 2024, and the transaction is expected to close during the fourth quarter of 2024. The Company received a deposit of $95 million in connection with the sale during the third quarter of 2024.</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agreement, the Company performed a fair value assessment of the associated assets and liabilities and recorded an impairment of $315 million to the carrying value of associated oil and gas properties. These assets met the criteria of held for sale classification as of September 30, 2024. U.S. oil and gas properties totaling $1.1 billion and the associated asset retirement obligation of $224 million were classified as current assets held for sale and current liabilities held for sale, respectively, as of September 30, 2024.</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Callon Petroleum Company Acquisition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2024, APA completed its acquisition of Callon Petroleum Company (Callon) in an all-stock transaction valued at approximately $4.5 billion, inclusive of Callon’s debt (the Callon acquisition). The transaction was approved by APA and Callon shareholders at special meetings held on March 27, 2024. The acquired assets include approximately 120,000 net acres in the Delaware Basin and 25,000 net acres in the Midland Basin.</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terms of the merger agreement (Merger Agreement), each share of Callon common stock was converted into the right to receive 1.0425 shares of APA common stock, with cash in lieu of fractional shares. As a result, APA issued approximately 70 million shares of APA common stock in connection with the transaction based on the value of APA common stock on the day of closing, and following the acquisition, Callon common stock is no longer listed for trading on the NYSE. In addition to the equity consideration provided, APA transferred approximately $24 million in other consideration upon close of the transaction.</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Upon completing the acquisition, APA repaid all of Callon’s debt, refinancing a portion by borrowing $1.5 billion under its unsecured committed term loan facility. Refer to </w:t>
      </w:r>
      <w:hyperlink w:anchor="i157ee99daef34ad8b761272c789e67a2_70">
        <w:r>
          <w:rPr>
            <w:rStyle w:val="InternetLink"/>
            <w:rFonts w:ascii="Times New Roman;sans-serif" w:hAnsi="Times New Roman;sans-serif"/>
            <w:b w:val="false"/>
            <w:color w:val="0000FF"/>
            <w:sz w:val="20"/>
            <w:u w:val="single"/>
          </w:rPr>
          <w:t>Note 9—Debt and Financing Costs</w:t>
        </w:r>
      </w:hyperlink>
      <w:r>
        <w:rPr>
          <w:color w:val="000000"/>
        </w:rPr>
        <w:t xml:space="preserve"> </w:t>
      </w:r>
      <w:r>
        <w:rPr>
          <w:rFonts w:ascii="Times New Roman;sans-serif" w:hAnsi="Times New Roman;sans-serif"/>
          <w:b w:val="false"/>
          <w:color w:val="000000"/>
          <w:sz w:val="20"/>
        </w:rPr>
        <w:t>for further detail.</w:t>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Recording of Assets Acquired and Liabilities Assumed</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was accounted for using the acquisition method of accounting, which requires, among other things, that assets acquired and liabilities assumed be recognized at their fair values as of the acquisition date. The final determination of fair value for certain assets and liabilities will be completed as soon as the information necessary to complete the analysis is obtained. These amounts will be finalized as soon as possible, but no later than one year from the acquisition date.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preliminary estimates of the assets acquired and liabilities assumed in the merger:</w:t>
      </w:r>
    </w:p>
    <w:tbl>
      <w:tblPr>
        <w:tblW w:w="3640" w:type="dxa"/>
        <w:jc w:val="left"/>
        <w:tblInd w:w="0" w:type="dxa"/>
        <w:tblLayout w:type="fixed"/>
        <w:tblCellMar>
          <w:top w:w="28" w:type="dxa"/>
          <w:left w:w="28" w:type="dxa"/>
          <w:bottom w:w="28" w:type="dxa"/>
          <w:right w:w="28" w:type="dxa"/>
        </w:tblCellMar>
      </w:tblPr>
      <w:tblGrid>
        <w:gridCol w:w="830"/>
        <w:gridCol w:w="728"/>
        <w:gridCol w:w="736"/>
        <w:gridCol w:w="109"/>
        <w:gridCol w:w="109"/>
        <w:gridCol w:w="109"/>
        <w:gridCol w:w="220"/>
        <w:gridCol w:w="626"/>
        <w:gridCol w:w="173"/>
      </w:tblGrid>
      <w:tr>
        <w:trPr/>
        <w:tc>
          <w:tcPr>
            <w:tcW w:w="83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combined results for the three and nine months ended September 30, 2024 and 2023 reflect the consolidated results of operations of the Company as if the Callon acquisition had occurred on January 1, 2023. The unaudited pro forma information includes certain accounting adjustments for transaction costs, depreciation, depletion, and amortization expense, interest expense, gain on derivatives related to a previous Callon acquisition, and estimated tax impacts of the pro forma adjustments.</w:t>
      </w:r>
    </w:p>
    <w:tbl>
      <w:tblPr>
        <w:tblW w:w="8474" w:type="dxa"/>
        <w:jc w:val="left"/>
        <w:tblInd w:w="0" w:type="dxa"/>
        <w:tblLayout w:type="fixed"/>
        <w:tblCellMar>
          <w:top w:w="28" w:type="dxa"/>
          <w:left w:w="28" w:type="dxa"/>
          <w:bottom w:w="28" w:type="dxa"/>
          <w:right w:w="28" w:type="dxa"/>
        </w:tblCellMar>
      </w:tblPr>
      <w:tblGrid>
        <w:gridCol w:w="1256"/>
        <w:gridCol w:w="1102"/>
        <w:gridCol w:w="1106"/>
        <w:gridCol w:w="109"/>
        <w:gridCol w:w="109"/>
        <w:gridCol w:w="109"/>
        <w:gridCol w:w="196"/>
        <w:gridCol w:w="556"/>
        <w:gridCol w:w="109"/>
        <w:gridCol w:w="109"/>
        <w:gridCol w:w="109"/>
        <w:gridCol w:w="109"/>
        <w:gridCol w:w="196"/>
        <w:gridCol w:w="556"/>
        <w:gridCol w:w="109"/>
        <w:gridCol w:w="109"/>
        <w:gridCol w:w="109"/>
        <w:gridCol w:w="109"/>
        <w:gridCol w:w="216"/>
        <w:gridCol w:w="613"/>
        <w:gridCol w:w="120"/>
        <w:gridCol w:w="120"/>
        <w:gridCol w:w="120"/>
        <w:gridCol w:w="120"/>
        <w:gridCol w:w="216"/>
        <w:gridCol w:w="613"/>
        <w:gridCol w:w="169"/>
      </w:tblGrid>
      <w:tr>
        <w:trPr/>
        <w:tc>
          <w:tcPr>
            <w:tcW w:w="125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Quarter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Nine Months Ended</w:t>
              <w:br/>
              <w:t>September 30,</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share data)</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common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common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From the date of the acquisition through September 30, 2024, revenues and net income attributable to common stockholders associated with Callon assets totaled $840 million and $192 million, respectively.</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condensed consolidated financial information has been included for comparative purposes only and is not necessarily indicative of the results that might have occurred had the transactions taken place on the dates indicated. The unaudited pro forma results are also not intended to be a projection of future results and do not include any future cost savings or other synergies that may result from the Callon acquisition or any estimated costs that have not yet been incurred.</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U.S. Divestitures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nine months of 2024, the Company completed the sale of non-core acreage in the East Texas Austin Chalk and Eagle Ford plays that had a carrying value of $347 million for aggregate cash proceeds of $253 million and the assumption of asset retirement obligations of $48 million. The Company recognized a $46 million loss during the first nine months of 2024 in association with this sale.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nine months of 2024, the Company also completed the sale of non-core mineral and royalty interests in the Permian Basin that had a carrying value of $71 million for approximately $392 million after post-closing adjustments. The Company recognized a gain of $321 million during the first nine months of 2024 in association with this sale.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during the third quarter and first nine months of 2024, the Company completed the sale of non-core assets and leasehold in multiple transactions for aggregate cash proceeds of $1 million and $73 million, respectively, recognizing a gain of approximately $1 million and $9 million, respectively, upon closing of these transactions.</w:t>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Sale of Kinetik Shares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On March 18, 2024, the Company sold its remaining Kinetik Shares for cash proceeds of $428 million. Refer to </w:t>
      </w:r>
      <w:hyperlink w:anchor="i157ee99daef34ad8b761272c789e67a2_61">
        <w:r>
          <w:rPr>
            <w:rStyle w:val="InternetLink"/>
            <w:rFonts w:ascii="Times New Roman;sans-serif" w:hAnsi="Times New Roman;sans-serif"/>
            <w:b w:val="false"/>
            <w:color w:val="0000FF"/>
            <w:sz w:val="20"/>
            <w:u w:val="single"/>
          </w:rPr>
          <w:t>Note 6—Equity Method Interests</w:t>
        </w:r>
      </w:hyperlink>
      <w:r>
        <w:rPr>
          <w:color w:val="000000"/>
        </w:rPr>
        <w:t xml:space="preserve"> </w:t>
      </w:r>
      <w:r>
        <w:rPr>
          <w:rFonts w:ascii="Times New Roman;sans-serif" w:hAnsi="Times New Roman;sans-serif"/>
          <w:b w:val="false"/>
          <w:color w:val="000000"/>
          <w:sz w:val="20"/>
        </w:rPr>
        <w:t>for further detail.</w:t>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Leasehold and Property Acquisitions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and the first nine months of 2024, in addition to the Callon acquisition, the Company completed other leasehold and property acquisitions, primarily in the Permian Basin, for aggregate cash consideration of approximately $1 million and $64 million, respectively.</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2023 Activity</w:t>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Leasehold and Property Acquisitions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and first nine months of 2023, the Company completed leasehold and property acquisitions, primarily in the Permian Basin, for aggregate cash consideration of approximately $1 million and $11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U.S. Divestitures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and first nine months of 2023, the Company completed the sale of non-core assets and leasehold in multiple transactions for aggregate cash proceeds of $1 million and $29 million, respectively, recognizing a gain of approximately $1 million and $7 million, respectively, upon closing of these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CAPITALIZED EXPLORATORY WELL COSTS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capitalized exploratory well costs were $611 million and $586 million as of September 30, 2024 and December 31, 2023, respectively. The increase is primarily attributable to additional drilling activity in Egypt and in the U.S. No suspended exploratory well costs previously capitalized for greater than one year at December 31, 2023 were charged to dry hole expense during the third quarter of 2024. During the first nine months of 2024, approximately $51 million of suspended well costs previously capitalized for greater than one year at December 31, 2023 were charged to dry hole expense.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Projects with suspended exploratory well costs capitalized for a period greater than one year since the completion of drilling are those identified by management as exhibiting sufficient quantities of hydrocarbons to justify potential development. Management is actively pursuing efforts to assess whether proved reserves can be attributed to these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    DERIVATIVE INSTRUMENTS AND HEDGING ACTIVITIES</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Objectives and Strategies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fluctuations in crude oil and natural gas prices on the majority of its worldwide production, as well as fluctuations in exchange rates in connection with transactions denominated in foreign currencies. The Company manages the variability in its cash flows by occasionally entering into derivative transactions on a portion of its crude oil and natural gas production and foreign currency transactions. The Company utilizes various types of derivative financial instruments, including forward contracts, futures contracts, swaps, and options, to manage fluctuations in cash flows resulting from changes in commodity prices or foreign currency values. The Company has elected not to designate any of its derivative contracts as cash flow hedges.</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Counterparty Risk</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use of derivative instruments exposes the Company to credit loss in the event of nonperformance by the counterparty. To reduce the concentration of exposure to any individual counterparty, the Company utilizes a diversified group of investment-grade rated counterparties, primarily financial institutions, for its derivative transactions. As of September 30, 2024, the Company had derivative positions with one counterparty. The Company monitors counterparty creditworthiness on an ongoing basis; however, it cannot predict sudden changes in counterparties’ creditworthiness. In addition, even if such changes are not sudden, the Company may be limited in its ability to mitigate an increase in counterparty credit risk. Should one of these counterparties not perform, the Company may not realize the benefit of some of its derivative instruments resulting from lower commodity prices.</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Derivative Instruments</w:t>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Commodity Derivative Instruments</w:t>
      </w:r>
    </w:p>
    <w:p>
      <w:pPr>
        <w:pStyle w:val="TextBody"/>
        <w:bidi w:val="0"/>
        <w:spacing w:lineRule="auto" w:line="288" w:before="2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had the following open natural gas financial collar contracts:</w:t>
      </w:r>
    </w:p>
    <w:tbl>
      <w:tblPr>
        <w:tblW w:w="10205" w:type="dxa"/>
        <w:jc w:val="left"/>
        <w:tblInd w:w="0" w:type="dxa"/>
        <w:tblLayout w:type="fixed"/>
        <w:tblCellMar>
          <w:top w:w="28" w:type="dxa"/>
          <w:left w:w="28" w:type="dxa"/>
          <w:bottom w:w="28" w:type="dxa"/>
          <w:right w:w="28" w:type="dxa"/>
        </w:tblCellMar>
      </w:tblPr>
      <w:tblGrid>
        <w:gridCol w:w="684"/>
        <w:gridCol w:w="603"/>
        <w:gridCol w:w="604"/>
        <w:gridCol w:w="109"/>
        <w:gridCol w:w="109"/>
        <w:gridCol w:w="109"/>
        <w:gridCol w:w="520"/>
        <w:gridCol w:w="520"/>
        <w:gridCol w:w="522"/>
        <w:gridCol w:w="109"/>
        <w:gridCol w:w="109"/>
        <w:gridCol w:w="109"/>
        <w:gridCol w:w="270"/>
        <w:gridCol w:w="270"/>
        <w:gridCol w:w="272"/>
        <w:gridCol w:w="109"/>
        <w:gridCol w:w="109"/>
        <w:gridCol w:w="109"/>
        <w:gridCol w:w="742"/>
        <w:gridCol w:w="742"/>
        <w:gridCol w:w="745"/>
        <w:gridCol w:w="109"/>
        <w:gridCol w:w="109"/>
        <w:gridCol w:w="109"/>
        <w:gridCol w:w="701"/>
        <w:gridCol w:w="701"/>
        <w:gridCol w:w="1001"/>
      </w:tblGrid>
      <w:tr>
        <w:trPr/>
        <w:tc>
          <w:tcPr>
            <w:tcW w:w="68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MMBtu</w:t>
              <w:br/>
              <w:t>(in 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Floor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Ceiling Price</w:t>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October—December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NYMEX Henry 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1,654</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w:t>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had the following open natural gas financial basis swap contracts:</w:t>
      </w:r>
    </w:p>
    <w:tbl>
      <w:tblPr>
        <w:tblW w:w="10205" w:type="dxa"/>
        <w:jc w:val="left"/>
        <w:tblInd w:w="0" w:type="dxa"/>
        <w:tblLayout w:type="fixed"/>
        <w:tblCellMar>
          <w:top w:w="28" w:type="dxa"/>
          <w:left w:w="28" w:type="dxa"/>
          <w:bottom w:w="28" w:type="dxa"/>
          <w:right w:w="28" w:type="dxa"/>
        </w:tblCellMar>
      </w:tblPr>
      <w:tblGrid>
        <w:gridCol w:w="529"/>
        <w:gridCol w:w="466"/>
        <w:gridCol w:w="467"/>
        <w:gridCol w:w="109"/>
        <w:gridCol w:w="109"/>
        <w:gridCol w:w="109"/>
        <w:gridCol w:w="524"/>
        <w:gridCol w:w="524"/>
        <w:gridCol w:w="526"/>
        <w:gridCol w:w="109"/>
        <w:gridCol w:w="109"/>
        <w:gridCol w:w="109"/>
        <w:gridCol w:w="256"/>
        <w:gridCol w:w="256"/>
        <w:gridCol w:w="257"/>
        <w:gridCol w:w="154"/>
        <w:gridCol w:w="154"/>
        <w:gridCol w:w="154"/>
        <w:gridCol w:w="623"/>
        <w:gridCol w:w="623"/>
        <w:gridCol w:w="625"/>
        <w:gridCol w:w="109"/>
        <w:gridCol w:w="109"/>
        <w:gridCol w:w="109"/>
        <w:gridCol w:w="256"/>
        <w:gridCol w:w="256"/>
        <w:gridCol w:w="257"/>
        <w:gridCol w:w="129"/>
        <w:gridCol w:w="129"/>
        <w:gridCol w:w="129"/>
        <w:gridCol w:w="561"/>
        <w:gridCol w:w="561"/>
        <w:gridCol w:w="808"/>
      </w:tblGrid>
      <w:tr>
        <w:trPr/>
        <w:tc>
          <w:tcPr>
            <w:tcW w:w="5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Basis Swap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Basis Swap Sold</w:t>
            </w:r>
          </w:p>
        </w:tc>
      </w:tr>
      <w:tr>
        <w:trPr/>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MMBtu</w:t>
              <w:br/>
              <w:t>(in 000’s)</w:t>
            </w:r>
          </w:p>
        </w:tc>
        <w:tc>
          <w:tcPr>
            <w:tcW w:w="4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Price Differential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MMBtu </w:t>
              <w:br/>
              <w:t>(in 000’s)</w:t>
            </w:r>
          </w:p>
        </w:tc>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Price Differential</w:t>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October—December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NYMEX Henry Hub/IF Waha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1,840</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October—December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NYMEX Henry Hub/IF HSC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3,680</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$(0.42)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had the following open NGL fixed swap contracts:</w:t>
      </w:r>
    </w:p>
    <w:tbl>
      <w:tblPr>
        <w:tblW w:w="9528" w:type="dxa"/>
        <w:jc w:val="left"/>
        <w:tblInd w:w="0" w:type="dxa"/>
        <w:tblLayout w:type="fixed"/>
        <w:tblCellMar>
          <w:top w:w="28" w:type="dxa"/>
          <w:left w:w="28" w:type="dxa"/>
          <w:bottom w:w="28" w:type="dxa"/>
          <w:right w:w="28" w:type="dxa"/>
        </w:tblCellMar>
      </w:tblPr>
      <w:tblGrid>
        <w:gridCol w:w="721"/>
        <w:gridCol w:w="636"/>
        <w:gridCol w:w="637"/>
        <w:gridCol w:w="109"/>
        <w:gridCol w:w="109"/>
        <w:gridCol w:w="109"/>
        <w:gridCol w:w="943"/>
        <w:gridCol w:w="943"/>
        <w:gridCol w:w="948"/>
        <w:gridCol w:w="109"/>
        <w:gridCol w:w="109"/>
        <w:gridCol w:w="109"/>
        <w:gridCol w:w="274"/>
        <w:gridCol w:w="274"/>
        <w:gridCol w:w="276"/>
        <w:gridCol w:w="109"/>
        <w:gridCol w:w="109"/>
        <w:gridCol w:w="109"/>
        <w:gridCol w:w="848"/>
        <w:gridCol w:w="848"/>
        <w:gridCol w:w="1199"/>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MBbls</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 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Price Differential</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October—December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OPIS IsoButane Mt Belvieu Non TET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$33.18</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October—December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OPIS NButane Mt Belvieu Non TET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$33.18</w:t>
            </w:r>
          </w:p>
        </w:tc>
      </w:tr>
    </w:tbl>
    <w:p>
      <w:pPr>
        <w:pStyle w:val="TextBody"/>
        <w:bidi w:val="0"/>
        <w:spacing w:lineRule="auto" w:line="288" w:before="200" w:after="283"/>
        <w:ind w:left="0" w:right="0" w:firstLine="495"/>
        <w:jc w:val="both"/>
        <w:rPr>
          <w:rFonts w:ascii="Times New Roman;sans-serif" w:hAnsi="Times New Roman;sans-serif"/>
          <w:b/>
          <w:color w:val="000000"/>
          <w:sz w:val="20"/>
          <w:u w:val="single"/>
        </w:rPr>
      </w:pPr>
      <w:r>
        <w:rPr>
          <w:rFonts w:ascii="Times New Roman;sans-serif" w:hAnsi="Times New Roman;sans-serif"/>
          <w:b/>
          <w:color w:val="000000"/>
          <w:sz w:val="20"/>
          <w:u w:val="single"/>
        </w:rPr>
        <w:t>Embedded Derivatives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Callon acquisition, the Company assumed an earn-out obligation from Callon, where the Company could be required to pay up to $50 million in the aggregate if the average daily settlement price of WTI crude oil exceeds $60.00 per barrel for the 2024 and 2025 calendar years. Additionally, in connection with the Callon acquisition, the Company assumed a contingent consideration arrangement, whereby the Company could receive up to $45 million if the average daily settlement price of WTI crude oil for 2024 is at least $80.00 per barrel. If the average daily settlement price of WTI crude oil for 2024 is less than $80.00 per barrel but at least $75.00 per barrel, then the Company would receive $20 million.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earn-out obligation and contingent consideration receipt were not clearly and closely related to the underlying agreements and therefore bifurcated these embedded features and recorded these derivatives at fair value. For further discussion of these derivatives, refer to “Fair Value Measurements” below.</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Fair Value Measurements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derivative assets and liabilities measured at fair value on a recurring basis:</w:t>
      </w:r>
    </w:p>
    <w:tbl>
      <w:tblPr>
        <w:tblW w:w="10205" w:type="dxa"/>
        <w:jc w:val="left"/>
        <w:tblInd w:w="0" w:type="dxa"/>
        <w:tblLayout w:type="fixed"/>
        <w:tblCellMar>
          <w:top w:w="28" w:type="dxa"/>
          <w:left w:w="28" w:type="dxa"/>
          <w:bottom w:w="28" w:type="dxa"/>
          <w:right w:w="28" w:type="dxa"/>
        </w:tblCellMar>
      </w:tblPr>
      <w:tblGrid>
        <w:gridCol w:w="638"/>
        <w:gridCol w:w="487"/>
        <w:gridCol w:w="491"/>
        <w:gridCol w:w="109"/>
        <w:gridCol w:w="109"/>
        <w:gridCol w:w="109"/>
        <w:gridCol w:w="353"/>
        <w:gridCol w:w="731"/>
        <w:gridCol w:w="198"/>
        <w:gridCol w:w="109"/>
        <w:gridCol w:w="109"/>
        <w:gridCol w:w="109"/>
        <w:gridCol w:w="449"/>
        <w:gridCol w:w="552"/>
        <w:gridCol w:w="251"/>
        <w:gridCol w:w="109"/>
        <w:gridCol w:w="109"/>
        <w:gridCol w:w="109"/>
        <w:gridCol w:w="441"/>
        <w:gridCol w:w="917"/>
        <w:gridCol w:w="248"/>
        <w:gridCol w:w="109"/>
        <w:gridCol w:w="109"/>
        <w:gridCol w:w="109"/>
        <w:gridCol w:w="237"/>
        <w:gridCol w:w="292"/>
        <w:gridCol w:w="133"/>
        <w:gridCol w:w="109"/>
        <w:gridCol w:w="109"/>
        <w:gridCol w:w="109"/>
        <w:gridCol w:w="206"/>
        <w:gridCol w:w="428"/>
        <w:gridCol w:w="116"/>
        <w:gridCol w:w="109"/>
        <w:gridCol w:w="109"/>
        <w:gridCol w:w="109"/>
        <w:gridCol w:w="275"/>
        <w:gridCol w:w="570"/>
        <w:gridCol w:w="230"/>
      </w:tblGrid>
      <w:tr>
        <w:trPr/>
        <w:tc>
          <w:tcPr>
            <w:tcW w:w="63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Measurements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 in Active Markets</w:t>
              <w:b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Other Inputs</w:t>
              <w:b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Unobservable 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Netting</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The derivative fair values are based on analysis of each contract on a gross basis, excluding the impact of netting agreements with counterparties.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embedded options within the earn-out obligation and contingent consideration arrangements discussed above are considered financial instruments under ASC 815. The Company uses a market approach to estimate the fair values of these derivatives on a recurring basis, utilizing an option pricing model method provided by a reputable third party. The valuation includes significant inputs such as forward oil price curves, time to expiration, and implied volatility. As these inputs are substantially observable for the full term of the contingent consideration arrangements, the inputs are considered a Level 2 fair value measurement. As of September 30, 2024, the estimated fair values of the earn-out obligation and contingent consideration receipt were $39 million and $10 million, respectively.</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Derivative Activity Recorded in the Consolidated Balance Sheet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All derivative instruments are reflected as either assets or liabilities at fair value in the consolidated balance sheet. These fair values are recorded by netting asset and liability positions where counterparty master netting arrangements contain provisions for net settlement. The carrying value of the Company’s derivative assets and liabilities and their locations on the consolidated balance sheet are as follows:</w:t>
      </w:r>
    </w:p>
    <w:tbl>
      <w:tblPr>
        <w:tblW w:w="7102" w:type="dxa"/>
        <w:jc w:val="left"/>
        <w:tblInd w:w="0" w:type="dxa"/>
        <w:tblLayout w:type="fixed"/>
        <w:tblCellMar>
          <w:top w:w="28" w:type="dxa"/>
          <w:left w:w="28" w:type="dxa"/>
          <w:bottom w:w="28" w:type="dxa"/>
          <w:right w:w="28" w:type="dxa"/>
        </w:tblCellMar>
      </w:tblPr>
      <w:tblGrid>
        <w:gridCol w:w="1470"/>
        <w:gridCol w:w="1291"/>
        <w:gridCol w:w="1304"/>
        <w:gridCol w:w="109"/>
        <w:gridCol w:w="109"/>
        <w:gridCol w:w="109"/>
        <w:gridCol w:w="368"/>
        <w:gridCol w:w="624"/>
        <w:gridCol w:w="207"/>
        <w:gridCol w:w="109"/>
        <w:gridCol w:w="109"/>
        <w:gridCol w:w="109"/>
        <w:gridCol w:w="306"/>
        <w:gridCol w:w="635"/>
        <w:gridCol w:w="243"/>
      </w:tblGrid>
      <w:tr>
        <w:trPr/>
        <w:tc>
          <w:tcPr>
            <w:tcW w:w="147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Deferred Credit and Other Noncurrent Liabilities: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Derivative Activity Recorded in the Statement of Consolidated Operations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derivative instruments on the Company’s statement of consolidated operations:</w:t>
      </w:r>
    </w:p>
    <w:tbl>
      <w:tblPr>
        <w:tblW w:w="7800" w:type="dxa"/>
        <w:jc w:val="left"/>
        <w:tblInd w:w="0" w:type="dxa"/>
        <w:tblLayout w:type="fixed"/>
        <w:tblCellMar>
          <w:top w:w="28" w:type="dxa"/>
          <w:left w:w="28" w:type="dxa"/>
          <w:bottom w:w="28" w:type="dxa"/>
          <w:right w:w="28" w:type="dxa"/>
        </w:tblCellMar>
      </w:tblPr>
      <w:tblGrid>
        <w:gridCol w:w="1072"/>
        <w:gridCol w:w="942"/>
        <w:gridCol w:w="955"/>
        <w:gridCol w:w="109"/>
        <w:gridCol w:w="109"/>
        <w:gridCol w:w="109"/>
        <w:gridCol w:w="210"/>
        <w:gridCol w:w="435"/>
        <w:gridCol w:w="116"/>
        <w:gridCol w:w="116"/>
        <w:gridCol w:w="116"/>
        <w:gridCol w:w="116"/>
        <w:gridCol w:w="210"/>
        <w:gridCol w:w="435"/>
        <w:gridCol w:w="116"/>
        <w:gridCol w:w="109"/>
        <w:gridCol w:w="109"/>
        <w:gridCol w:w="109"/>
        <w:gridCol w:w="250"/>
        <w:gridCol w:w="518"/>
        <w:gridCol w:w="139"/>
        <w:gridCol w:w="139"/>
        <w:gridCol w:w="139"/>
        <w:gridCol w:w="139"/>
        <w:gridCol w:w="250"/>
        <w:gridCol w:w="537"/>
        <w:gridCol w:w="196"/>
      </w:tblGrid>
      <w:tr>
        <w:trPr/>
        <w:tc>
          <w:tcPr>
            <w:tcW w:w="107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9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29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Realized gains,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gains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Derivative instrument gains and losses are recorded in “Derivative instrument gains (losses), net” under “Revenues and Other” in the Company’s statement of consolidated operations. Unrealized gains (losses) for derivative activity recorded in the statement of consolidated operations are reflected in the statement of consolidated cash flows separately as “Unrealized derivative instrument (gains) losses, net” under “Adjustments to reconcile net income to net cash provided by operating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    OTHER CURRENT ASSETS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 of the Company’s other current assets:</w:t>
      </w:r>
    </w:p>
    <w:tbl>
      <w:tblPr>
        <w:tblW w:w="7807" w:type="dxa"/>
        <w:jc w:val="left"/>
        <w:tblInd w:w="0" w:type="dxa"/>
        <w:tblLayout w:type="fixed"/>
        <w:tblCellMar>
          <w:top w:w="28" w:type="dxa"/>
          <w:left w:w="28" w:type="dxa"/>
          <w:bottom w:w="28" w:type="dxa"/>
          <w:right w:w="28" w:type="dxa"/>
        </w:tblCellMar>
      </w:tblPr>
      <w:tblGrid>
        <w:gridCol w:w="1728"/>
        <w:gridCol w:w="1512"/>
        <w:gridCol w:w="1529"/>
        <w:gridCol w:w="109"/>
        <w:gridCol w:w="109"/>
        <w:gridCol w:w="109"/>
        <w:gridCol w:w="323"/>
        <w:gridCol w:w="695"/>
        <w:gridCol w:w="181"/>
        <w:gridCol w:w="109"/>
        <w:gridCol w:w="109"/>
        <w:gridCol w:w="109"/>
        <w:gridCol w:w="300"/>
        <w:gridCol w:w="647"/>
        <w:gridCol w:w="238"/>
      </w:tblGrid>
      <w:tr>
        <w:trPr/>
        <w:tc>
          <w:tcPr>
            <w:tcW w:w="172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Drilling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decommissioning security for sold Gulf of Mexico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assets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6.    EQUITY METHOD INTERESTS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held 13.1 million Kinetik Shares, which were recorded at fair value of $437 million and reflected separately as “Equity method interests” in the Company’s consolidated balance sheet. The Company elected the fair value option for measuring its equity method interest in Kinetik based on practical expedience, variances in reporting timelines, and cost-benefit considerations. The fair value of the Company’s interest in Kinetik was determined using observable share prices on a major exchange, a Level 1 fair value measurement. On March 18, 2024, the Company sold its remaining Kinetik Shares for cash proceeds of $428 million.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Company’s sale of its remaining Kinetik Shares and the resignation of the Company’s designated director from the Kinetik board of directors, the Company recorded changes in the fair value of its equity method interest in Kinetik totaling a loss of $9 million in the first quarter of 2024, and a loss of $14 million and a gain of $57 million in the third quarter and the first nine months of 2023, respectively. These changes in fair value were recorded as a component of “Revenues and Other” in the Company’s statement of consolidated operations.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related party sales and costs associated with Kinetik prior to the Company’s sale of its remaining Kinetik Shares and the resignation of the Company’s designated director from the Kinetik board of directors:</w:t>
      </w:r>
    </w:p>
    <w:tbl>
      <w:tblPr>
        <w:tblW w:w="8210" w:type="dxa"/>
        <w:jc w:val="left"/>
        <w:tblInd w:w="0" w:type="dxa"/>
        <w:tblLayout w:type="fixed"/>
        <w:tblCellMar>
          <w:top w:w="28" w:type="dxa"/>
          <w:left w:w="28" w:type="dxa"/>
          <w:bottom w:w="28" w:type="dxa"/>
          <w:right w:w="28" w:type="dxa"/>
        </w:tblCellMar>
      </w:tblPr>
      <w:tblGrid>
        <w:gridCol w:w="1222"/>
        <w:gridCol w:w="1071"/>
        <w:gridCol w:w="1082"/>
        <w:gridCol w:w="109"/>
        <w:gridCol w:w="109"/>
        <w:gridCol w:w="109"/>
        <w:gridCol w:w="219"/>
        <w:gridCol w:w="454"/>
        <w:gridCol w:w="122"/>
        <w:gridCol w:w="122"/>
        <w:gridCol w:w="122"/>
        <w:gridCol w:w="122"/>
        <w:gridCol w:w="219"/>
        <w:gridCol w:w="370"/>
        <w:gridCol w:w="122"/>
        <w:gridCol w:w="109"/>
        <w:gridCol w:w="109"/>
        <w:gridCol w:w="109"/>
        <w:gridCol w:w="261"/>
        <w:gridCol w:w="441"/>
        <w:gridCol w:w="145"/>
        <w:gridCol w:w="145"/>
        <w:gridCol w:w="145"/>
        <w:gridCol w:w="145"/>
        <w:gridCol w:w="261"/>
        <w:gridCol w:w="561"/>
        <w:gridCol w:w="205"/>
      </w:tblGrid>
      <w:tr>
        <w:trPr/>
        <w:tc>
          <w:tcPr>
            <w:tcW w:w="122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 and NGLs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Purchased oil and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Gathering, processing, and transmission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Purchased oil and gas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    OTHER CURRENT LIABILITIES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 of the Company’s other current liabilities:</w:t>
      </w:r>
    </w:p>
    <w:tbl>
      <w:tblPr>
        <w:tblW w:w="8393" w:type="dxa"/>
        <w:jc w:val="left"/>
        <w:tblInd w:w="0" w:type="dxa"/>
        <w:tblLayout w:type="fixed"/>
        <w:tblCellMar>
          <w:top w:w="28" w:type="dxa"/>
          <w:left w:w="28" w:type="dxa"/>
          <w:bottom w:w="28" w:type="dxa"/>
          <w:right w:w="28" w:type="dxa"/>
        </w:tblCellMar>
      </w:tblPr>
      <w:tblGrid>
        <w:gridCol w:w="1940"/>
        <w:gridCol w:w="1700"/>
        <w:gridCol w:w="1715"/>
        <w:gridCol w:w="109"/>
        <w:gridCol w:w="109"/>
        <w:gridCol w:w="109"/>
        <w:gridCol w:w="272"/>
        <w:gridCol w:w="775"/>
        <w:gridCol w:w="153"/>
        <w:gridCol w:w="109"/>
        <w:gridCol w:w="109"/>
        <w:gridCol w:w="109"/>
        <w:gridCol w:w="256"/>
        <w:gridCol w:w="727"/>
        <w:gridCol w:w="201"/>
      </w:tblGrid>
      <w:tr>
        <w:trPr/>
        <w:tc>
          <w:tcPr>
            <w:tcW w:w="194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exploration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 retirement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decommissioning contingency for sold Gulf of Mexico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    ASSET RETIREMENT OBLIGATION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changes to the Company’s asset retirement obligation (ARO) liability:</w:t>
      </w:r>
    </w:p>
    <w:tbl>
      <w:tblPr>
        <w:tblW w:w="5112" w:type="dxa"/>
        <w:jc w:val="left"/>
        <w:tblInd w:w="0" w:type="dxa"/>
        <w:tblLayout w:type="fixed"/>
        <w:tblCellMar>
          <w:top w:w="28" w:type="dxa"/>
          <w:left w:w="28" w:type="dxa"/>
          <w:bottom w:w="28" w:type="dxa"/>
          <w:right w:w="28" w:type="dxa"/>
        </w:tblCellMar>
      </w:tblPr>
      <w:tblGrid>
        <w:gridCol w:w="1280"/>
        <w:gridCol w:w="1126"/>
        <w:gridCol w:w="1134"/>
        <w:gridCol w:w="109"/>
        <w:gridCol w:w="109"/>
        <w:gridCol w:w="109"/>
        <w:gridCol w:w="269"/>
        <w:gridCol w:w="763"/>
        <w:gridCol w:w="213"/>
      </w:tblGrid>
      <w:tr>
        <w:trPr/>
        <w:tc>
          <w:tcPr>
            <w:tcW w:w="128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settled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divested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Revisions in estimated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2,502 </w:t>
            </w:r>
          </w:p>
        </w:tc>
        <w:tc>
          <w:tcPr>
            <w:tcW w:w="2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    DEBT AND FINANCING COSTS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carrying values of the Company’s debt:</w:t>
      </w:r>
    </w:p>
    <w:tbl>
      <w:tblPr>
        <w:tblW w:w="9128" w:type="dxa"/>
        <w:jc w:val="left"/>
        <w:tblInd w:w="0" w:type="dxa"/>
        <w:tblLayout w:type="fixed"/>
        <w:tblCellMar>
          <w:top w:w="28" w:type="dxa"/>
          <w:left w:w="28" w:type="dxa"/>
          <w:bottom w:w="28" w:type="dxa"/>
          <w:right w:w="28" w:type="dxa"/>
        </w:tblCellMar>
      </w:tblPr>
      <w:tblGrid>
        <w:gridCol w:w="2206"/>
        <w:gridCol w:w="1936"/>
        <w:gridCol w:w="1948"/>
        <w:gridCol w:w="109"/>
        <w:gridCol w:w="109"/>
        <w:gridCol w:w="109"/>
        <w:gridCol w:w="272"/>
        <w:gridCol w:w="775"/>
        <w:gridCol w:w="153"/>
        <w:gridCol w:w="109"/>
        <w:gridCol w:w="109"/>
        <w:gridCol w:w="109"/>
        <w:gridCol w:w="256"/>
        <w:gridCol w:w="727"/>
        <w:gridCol w:w="201"/>
      </w:tblGrid>
      <w:tr>
        <w:trPr/>
        <w:tc>
          <w:tcPr>
            <w:tcW w:w="220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Apache notes and debentures before unamortized discount and debt issuance costs</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Term loan facility, commercial paper, and syndicated credit facilities</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Apache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6,372 </w:t>
            </w:r>
          </w:p>
        </w:tc>
        <w:tc>
          <w:tcPr>
            <w:tcW w:w="15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5,188 </w:t>
            </w:r>
          </w:p>
        </w:tc>
        <w:tc>
          <w:tcPr>
            <w:tcW w:w="2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6,370 </w:t>
            </w:r>
          </w:p>
        </w:tc>
        <w:tc>
          <w:tcPr>
            <w:tcW w:w="15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5,186 </w:t>
            </w:r>
          </w:p>
        </w:tc>
        <w:tc>
          <w:tcPr>
            <w:tcW w:w="2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The fair values of the Apache notes and debentures were $4.5 billion and $4.3 billion as of September 30, 2024 and December 31, 2023, respectively. </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Company uses a market approach to determine the fair values of its notes and debentures using estimates provided by an independent investment financial data services firm (a Level 2 fair value measurement).</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The carrying value of borrowings on the term loan facility, commercial paper and credit facilities approximates fair value because interest rates are variable and reflective of market rates.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each of September 30, 2024 and December 31, 2023, current debt included $2 million of finance lease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Financing Costs, Net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the Company’s financing costs, net:</w:t>
      </w:r>
    </w:p>
    <w:tbl>
      <w:tblPr>
        <w:tblW w:w="7475" w:type="dxa"/>
        <w:jc w:val="left"/>
        <w:tblInd w:w="0" w:type="dxa"/>
        <w:tblLayout w:type="fixed"/>
        <w:tblCellMar>
          <w:top w:w="28" w:type="dxa"/>
          <w:left w:w="28" w:type="dxa"/>
          <w:bottom w:w="28" w:type="dxa"/>
          <w:right w:w="28" w:type="dxa"/>
        </w:tblCellMar>
      </w:tblPr>
      <w:tblGrid>
        <w:gridCol w:w="955"/>
        <w:gridCol w:w="840"/>
        <w:gridCol w:w="844"/>
        <w:gridCol w:w="109"/>
        <w:gridCol w:w="109"/>
        <w:gridCol w:w="109"/>
        <w:gridCol w:w="217"/>
        <w:gridCol w:w="467"/>
        <w:gridCol w:w="121"/>
        <w:gridCol w:w="121"/>
        <w:gridCol w:w="121"/>
        <w:gridCol w:w="121"/>
        <w:gridCol w:w="217"/>
        <w:gridCol w:w="367"/>
        <w:gridCol w:w="121"/>
        <w:gridCol w:w="109"/>
        <w:gridCol w:w="109"/>
        <w:gridCol w:w="109"/>
        <w:gridCol w:w="248"/>
        <w:gridCol w:w="533"/>
        <w:gridCol w:w="138"/>
        <w:gridCol w:w="138"/>
        <w:gridCol w:w="138"/>
        <w:gridCol w:w="138"/>
        <w:gridCol w:w="248"/>
        <w:gridCol w:w="533"/>
        <w:gridCol w:w="195"/>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9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Apache purchased in the open market and canceled senior notes issued under its indentures in an aggregate principal amount of $74 million for an aggregate purchase price of $65 million in cash. The Company recognized a $9 million gain on these repurchases.</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Unsecured 2022 Committed Credit Facilities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the Company entered into two unsecured syndicated credit agreements for general corporate purposes.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One agreement is denominated in US dollars (the USD Agreement) and provides for an unsecured five-year revolving credit facility, with aggregate commitments of US$1.8 billion (including a letter of credit subfacility of up to US$750 million, of which US$150 million currently is committed). The Company may increase commitments up to an aggregate US$2.3 billion by adding new lenders or obtaining the consent of any increasing existing lenders. This facility matures in April 2027, subject to the Company’s two, one-year extension options.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second agreement is denominated in pounds sterling (the GBP Agreement) and provides for an unsecured five-year revolving credit facility, with aggregate commitments of £1.5 billion for loans and letters of credit. This facility matures in April 2027, subject to the Company’s two, one-year extension options.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Apache may borrow under the USD Agreement up to an aggregate principal amount of US$300 million outstanding at any given time. Apache has guaranteed obligations under each of the USD Agreement and GBP Agreement effective until the aggregate principal amount of indebtedness under senior notes and debentures outstanding under Apache’s existing indentures first is less than US$1.0 billion.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there were $232 million of borrowings under the USD Agreement and an aggregate £303 million in letters of credit outstanding under the GBP Agreement. As of September 30, 2024, there were no letters of credit outstanding under the USD Agreement. As of December 31, 2023, there were $372 million of borrowings under the USD Agreement and an aggregate £348 million in letters of credit outstanding under the GBP Agreement. As of December 31, 2023, there were no letters of credit outstanding under the USD Agreement.</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Uncommitted Lines of Credit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Company and Apache, from time to time, has and uses uncommitted credit and letter of credit facilities for working capital and credit support purposes. As of September 30, 2024 and December 31, 2023, there were no outstanding borrowings under these facilities. As of September 30, 2024, there were £461 million and $11 million, respectively, in letters of credit outstanding under these facilities. As of December 31, 2023, there were £416 million and $2 million, respectively, in letters of credit outstanding under these facilities.</w:t>
      </w:r>
    </w:p>
    <w:p>
      <w:pPr>
        <w:pStyle w:val="TextBody"/>
        <w:bidi w:val="0"/>
        <w:spacing w:lineRule="auto" w:line="288" w:before="200" w:after="283"/>
        <w:jc w:val="both"/>
        <w:rPr/>
      </w:pPr>
      <w:r>
        <w:rPr>
          <w:rFonts w:ascii="Times New Roman;sans-serif" w:hAnsi="Times New Roman;sans-serif"/>
          <w:b/>
          <w:color w:val="000000"/>
          <w:sz w:val="20"/>
          <w:u w:val="single"/>
        </w:rPr>
        <w:t>Commercial Paper Program</w:t>
      </w:r>
      <w:r>
        <w:rPr>
          <w:color w:val="000000"/>
          <w:u w:val="single"/>
        </w:rPr>
        <w:t xml:space="preserve">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Company established a commercial paper program under which it from time to time may issue in private placements exempt from registration under the Securities Act short-term unsecured promissory notes (CP Notes) up to a maximum aggregate face amount of $1.8 billion outstanding at any time. The maturities of CP Notes may vary but may not exceed 397 days from the date of issuance. Outstanding CP Notes are supported by available borrowing capacity under the Company’s committed $1.8 billion USD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Payment of CP Notes has been unconditionally guaranteed on an unsecured basis by Apache, such guarantee effective until the first time that the aggregate principal amount of indebtedness under senior notes and debentures outstanding under Apache’s existing indentures is less than US$1.0 billion.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there was $330 million in aggregate face amount of CP Notes outstanding, which is classified as long-term debt. As of December 31, 2023, there were no CP Notes outstanding.</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Unsecured Committed Term Loan Facility</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30, 2024, APA entered into a syndicated credit agreement under which the lenders committed an aggregate $2.0 billion for senior unsecured delayed-draw term loans to APA (Term Loan Credit Agreement), the proceeds of which could be used to refinance certain indebtedness of Callon only once upon the date of the closings under the Merger Agreement and Term Loan Credit Agreement. Of such aggregate commitments, $1.5 billion was for term loans that would mature three years after the date of such closings (3-Year Tranche Loans) and $500 million was for term loans that would mature 364 days after the date of such closings (364-Day Tranche Loans). Apache has guaranteed obligations under the Term Loan Credit Agreement effective until the aggregate principal amount of indebtedness under senior notes and debentures outstanding under Apache’s existing indentures first is less than $1.0 billion.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2024, APA closed the transactions under the Term Loan Credit Agreement, electing to borrow an aggregate $1.5 billion in 3-Year Tranche Loans maturing April 1, 2027 and to allow the lender commitments for the 364-Day Tranche Loans to expire.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Loan proceeds were used to refinance certain indebtedness of Callon upon the substantially simultaneous closing of APA’s acquisition of Callon pursuant to the Merger Agreement and to pay related fees and expenses. APA may at any time prepay loans under the Term Loan Credit Agreement. As of September 30, 2024, $1.0 billion in 3-Year Tranche Loans remained outstanding under the Term Loan Credit Agreement.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Indebtedness of Callon that APA could refinance by borrowing under the Term Loan Credit Agreement included indebtedness outstanding under (i) the Amended and Restated Credit Agreement, dated October 19, 2022, among Callon, JPMorgan Chase Bank, N.A., as administrative agent, and the lenders party thereto (Callon Credit Agreement), (ii) Callon’s 6.375% Senior Notes due 2026 (Callon’s 2026 Notes), (iii) Callon’s 8.00% Senior Notes due 2028 (Callon’s 2028 Notes), and (iv) Callon’s 7.500% Senior Notes due 2030 (Callon’s 2030 Notes).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2024, all indebtedness under the Callon Credit Agreement and Callon’s 2026 Notes was repaid, and the aggregate principal balance remaining outstanding under Callon’s 2028 Notes and Callon’s 2030 Notes was reduced to $24 million. On May 6, 2024, all remaining indebtedness under Callon’s 2028 Notes and Callon’s 2030 Notes was repaid. Given these repayments, no guarantee by Callon of APA’s obligations under the Term Loan Credit Agreement is required.</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2024, the following Callon indebtedness was repaid by borrowings under the Term Loan Credit Agreement and the USD Agreement: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Callon closed cash tender offers for Callon’s 2028 Notes and Callon’s 2030 Notes, accepting for purchase $1.2 billion aggregate principal amount of notes. Callon paid holders an aggregate $1.3 billion in cash, reflecting principal, premium to par, early tender consent fee, and accrued and unpaid interest.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Callon redeemed the outstanding $321 million principal amount of Callon’s 2026 Notes at a redemption price equal to 101.063% of their principal amount, plus accrued and unpaid interest to the redemption date.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Callon repaid the aggregate $472 million owed under the Callon Credit Agreement, including principal, accrued and unpaid interest, and certain fees.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May 6, 2024, Callon fully redeemed the remaining outstanding $8 million principal amount of Callon’s 2028 Notes at a redemption price equal to 101.588% of their principal amount and $16 million principal amount of Callon’s 2030 Notes at a redemption price equal to 102.803% of their principal amount, in each case, plus accrued and unpaid interest to the redemption date. The repayments were partially funded by borrowing under the USD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its annual effective income tax rate in recording its quarterly provision for income taxes in the various jurisdictions in which the Company operates. Non-cash impairments on the carrying value of the Company’s oil and gas properties, gains and losses on the sale of assets, statutory tax rate changes, and other significant or unusual items are recognized as discrete items in the quarter in which they occur.</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 for the three and nine months ended September 30, 2024 differed from the U.S. federal statutory income tax rate of 21 percent due to taxes on foreign operations. During the third quarter of 2023, the Company’s effective income tax rate differed from the U.S. federal statutory income tax rate of 21 percent due to taxes on foreign operations and a decrease in the amount of valuation allowance against its U.S. deferred tax assets. The Company’s effective income tax rate for the nine months ended September 30, 2023 differed from the U.S. federal statutory income tax rate of 21 percent due to taxes on foreign operations, a deferred tax expense related to the remeasurement of taxes in the U.K. as a result of the enactment of Finance Act 2023, and a decrease in the amount of valuation allowance against its U.S. deferred tax assets.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On April 1, 2024, APA completed its acquisition of Callon in an all-stock transaction. The Company’s deferred tax asset increased by approximately $575 million as part of the assets assumed through the Callon acquisition. Refer to </w:t>
      </w:r>
      <w:hyperlink w:anchor="i157ee99daef34ad8b761272c789e67a2_49">
        <w:r>
          <w:rPr>
            <w:rStyle w:val="InternetLink"/>
            <w:rFonts w:ascii="Times New Roman;sans-serif" w:hAnsi="Times New Roman;sans-serif"/>
            <w:b w:val="false"/>
            <w:color w:val="0000FF"/>
            <w:sz w:val="20"/>
            <w:u w:val="single"/>
          </w:rPr>
          <w:t>Note 2—Acquisitions and Divestitures</w:t>
        </w:r>
      </w:hyperlink>
      <w:r>
        <w:rPr>
          <w:color w:val="000000"/>
        </w:rPr>
        <w:t xml:space="preserve"> </w:t>
      </w:r>
      <w:r>
        <w:rPr>
          <w:rFonts w:ascii="Times New Roman;sans-serif" w:hAnsi="Times New Roman;sans-serif"/>
          <w:b w:val="false"/>
          <w:color w:val="000000"/>
          <w:sz w:val="20"/>
        </w:rPr>
        <w:t>for further detail.</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U.S. enacted the Inflation Reduction Act of 2022 (IRA). The IRA includes a new 15 percent corporate alternative minimum tax (CAMT) on applicable corporations with an average annual adjusted financial statement income that exceeds $1.0 billion for any three consecutive years preceding the tax year at issue. The CAMT is effective for tax years beginning after December 31, 2022. The Company became an applicable corporation subject to CAMT beginning on January 1, 2024. On September 12, 2024, the U.S. Department of Treasury and the Internal Revenue Service released proposed regulations relating to the application and implementation of CAMT. The Company is continuing to evaluate the proposed regulations and their effect on the Company’s consolidated financial statements.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Organisation for Economic Co-operation and Development issued Pillar Two Model Rules introducing a new global minimum tax of 15 percent on a country-by-country basis, with certain aspects effective in certain jurisdictions on January 1, 2024. Although the Company continues to monitor enacted legislation to implement these rules in countries where the Company could be impacted, APA does not expect that the Pillar Two framework will have a material impact on its consolidated financial statements.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are subject to U.S. federal income tax as well as income or capital taxes in various states and foreign jurisdictions. The Company’s tax reserves are related to tax years that may be subject to examination by the relevant taxing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    COMMITMENTS AND CONTINGENCIES</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Legal Matters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various legal actions arising in the ordinary course of business, including litigation and governmental and regulatory controls, which also may include controls related to the potential impacts of climate change. As of September 30, 2024, the Company has an accrued liability of approximately $18 million for all legal contingencies that are deemed to be probable of occurring and can be reasonably estimated. The Company’s estimates are based on information known about the matters and its experience in contesting, litigating, and settling similar matters. Although actual amounts could differ from management’s estimate, none of the actions are believed by management to involve future amounts that would be material to the Company’s financial position, results of operations, or liquidity after consideration of recorded accruals. With respect to material matters for which the Company believes an unfavorable outcome is reasonably possible, the Company has disclosed the nature of the matter and a range of potential exposure, unless an estimate cannot be made at this time. It is management’s opinion that the loss for any other litigation matters and claims that are reasonably possible to occur will not have a material adverse effect on the Company’s financial position, results of operations, or liquidity.</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Legal Matters described below, refer to Note 11—Commitments and Contingencies to the consolidated financial statements contained in the Company’s Annual Report on Form 10-K for the fiscal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Argentine Environmental Claims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12, 2014, the Company and its subsidiaries completed the sale of all of the Company’s subsidiaries’ operations and properties in Argentina to YPF Sociedad Anonima (YPF). As part of that sale, YPF assumed responsibility for all of the past, present, and future litigation in Argentina involving Company subsidiaries, except that Company subsidiaries have agreed to indemnify YPF for certain environmental, tax, and royalty obligations capped at an aggregate of $100 million. The indemnity is subject to specific agreed conditions precedent, thresholds, contingencies, limitations, claim deadlines, loss sharing, and other terms and conditions. On April 11, 2014, YPF provided its first notice of claims pursuant to the indemnity. Company subsidiaries have not paid any amounts under the indemnity but will continue to review and consider claims presented by YPF. Further, Company subsidiaries retain the right to enforce certain Argentina-related indemnification obligations against Pioneer Natural Resources Company (Pioneer) in an amount up to $45 million pursuant to the terms and conditions of stock purchase agreements entered in 2006 between Company subsidiaries and subsidiaries of Pioneer. </w:t>
      </w:r>
    </w:p>
    <w:p>
      <w:pPr>
        <w:pStyle w:val="TextBody"/>
        <w:bidi w:val="0"/>
        <w:spacing w:lineRule="auto" w:line="288" w:before="200" w:after="283"/>
        <w:ind w:left="0" w:right="0" w:firstLine="270"/>
        <w:jc w:val="left"/>
        <w:rPr/>
      </w:pPr>
      <w:r>
        <w:rPr>
          <w:rFonts w:ascii="Times New Roman;sans-serif" w:hAnsi="Times New Roman;sans-serif"/>
          <w:b/>
          <w:i/>
          <w:color w:val="000000"/>
          <w:sz w:val="20"/>
        </w:rPr>
        <w:t>Louisiana Restoration</w:t>
      </w:r>
      <w:r>
        <w:rPr>
          <w:color w:val="000000"/>
        </w:rPr>
        <w:t>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more fully described in the Company’s Annual Report on Form 10-K for the fiscal year ended December 31, 2023, Louisiana surface owners often file lawsuits or assert claims against oil and gas companies, including the Company, claiming that operators and working interest owners in the chain of title are liable for environmental damages on the leased premises, including damages measured by the cost of restoration of the leased premises to its original condition, regardless of the value of the underlying property. From time to time, restoration lawsuits and claims are resolved by the Company for amounts that are not material to the Company, while new lawsuits and claims are asserted against the Company. With respect to each of the pending lawsuits and claims, the amount claimed is not currently determinable or is not material. Further, the overall exposure related to these lawsuits and claims is not currently determinable. While adverse judgments against the Company are possible, the Company intends to actively defend these lawsuits and claims.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Starting in November of 2013 and continuing into 2023, several parishes in Louisiana have pending lawsuits against many oil and gas producers, including the Company. In these cases, the Parishes, as plaintiffs, allege that defendants’ oil and gas exploration, production, and transportation operations in specified fields were conducted in violation of the State and Local Coastal Resources Management Act of 1978, as amended, and applicable regulations, rules, orders, and ordinances promulgated or adopted thereunder by the Parish or the State of Louisiana. Plaintiffs allege that defendants caused substantial damage to land and water bodies located in the coastal zone of Louisiana. Plaintiffs seek, among other things, unspecified damages for alleged violations of applicable law within the coastal zone, the payment of costs necessary to clear, re-vegetate, detoxify, and otherwise restore the subject coastal zone as near as practicable to its original condition, and actual restoration of the coastal zone to its original condition. Without acknowledging or admitting any liability and solely to avoid the expense and uncertainty of future litigation, the Company agreed to settle with the State of Louisiana and Louisiana coastal Parishes to resolve any potential liability on the part of the Company for claims that were or could have been asserted by the coastal Parishes and/or the State of Louisiana in the pending litigation. The consideration paid by the Company in the settlement did not have a material impact on the Company’s financial position. Following settlement of these various lawsuits, the Company will be a defendant in only one remaining coastal zone lawsuit, which was filed by the City of New Orleans against the Company and a number of oil and gas operators.</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Apollo Exploration Lawsuit</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In a case captioned </w:t>
      </w:r>
      <w:r>
        <w:rPr>
          <w:rFonts w:ascii="Times New Roman;sans-serif" w:hAnsi="Times New Roman;sans-serif"/>
          <w:b w:val="false"/>
          <w:i/>
          <w:color w:val="000000"/>
          <w:sz w:val="20"/>
        </w:rPr>
        <w:t>Apollo Exploration, LLC, Cogent Exploration, Ltd. Co. &amp; SellmoCo, LLC v. Apache Corporation</w:t>
      </w:r>
      <w:r>
        <w:rPr>
          <w:rFonts w:ascii="Times New Roman;sans-serif" w:hAnsi="Times New Roman;sans-serif"/>
          <w:b w:val="false"/>
          <w:color w:val="000000"/>
          <w:sz w:val="20"/>
        </w:rPr>
        <w:t>, Cause No. CV50538 in the 385</w:t>
      </w:r>
      <w:r>
        <w:rPr>
          <w:rFonts w:ascii="Times New Roman;sans-serif" w:hAnsi="Times New Roman;sans-serif"/>
          <w:b w:val="false"/>
          <w:color w:val="000000"/>
          <w:sz w:val="18"/>
        </w:rPr>
        <w:t>th</w:t>
      </w:r>
      <w:r>
        <w:rPr>
          <w:color w:val="000000"/>
        </w:rPr>
        <w:t xml:space="preserve"> </w:t>
      </w:r>
      <w:r>
        <w:rPr>
          <w:rFonts w:ascii="Times New Roman;sans-serif" w:hAnsi="Times New Roman;sans-serif"/>
          <w:b w:val="false"/>
          <w:color w:val="000000"/>
          <w:sz w:val="20"/>
        </w:rPr>
        <w:t>Judicial District Court, Midland County, Texas, plaintiffs alleged damages in excess of $200 million (having previously claimed in excess of $1.1 billion) relating to purchase and sale agreements, mineral leases, and area of mutual interest agreements concerning properties located in Hartley, Moore, Potter, and Oldham Counties, Texas. The trial court entered final judgment in favor of the Company, ruling that the plaintiffs take nothing by their claims and awarding the Company its attorneys’ fees and costs incurred in defending the lawsuit. The court of appeals affirmed in part and reversed in part the trial court’s judgment thereby reinstating some of plaintiffs’ claims. The Texas Supreme Court granted the Company’s petition for review and heard oral argument in October 2022. On April 28, 2023, the Texas Supreme Court reversed the court of appeals’ decision and remanded the case back to the court of appeals for further proceedings. After plaintiffs’ request for rehearing, on July 21, 2023, the Texas Supreme Court reaffirmed its reversal of the court of appeals’ decision and remand of the case back to the court of appeals for further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Australian Operations Divestiture Dispute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 Sale and Purchase Agreement dated April 9, 2015 (Quadrant SPA), the Company and its subsidiaries divested Australian operations to Quadrant Energy Pty Ltd (Quadrant). Closing occurred on June 5, 2015. In April 2017, the Company filed suit against Quadrant for breach of the Quadrant SPA. In its suit, the Company seeks approximately AUD $80 million. In December 2017, Quadrant filed a defense of equitable set-off to the Company’s claim and a counterclaim seeking approximately AUD $200 million in the aggregate. The Company will vigorously prosecute its claim while vigorously defending against Quadrant’s counter claims.</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California and Delaware Litigation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July 17, 2017, in three separate actions, San Mateo and Marin Counties, and the City of Imperial Beach, California, all filed suit individually and on behalf of the people of the State of California against over 30 oil and gas companies alleging damages as a result of global warming. Plaintiffs seek unspecified damages and abatement under various tort theories. On December 20, 2017, in two separate actions, the City of Santa Cruz and Santa Cruz County filed similar lawsuits against many of the same defendants. On January 22, 2018, the City of Richmond filed a similar lawsuit. These cases were then consolidated before a single judge in a multi-district litigation (MDL) proceeding. On August 14, 2024, in the MDL, the plaintiffs agreed to dismiss Apache with prejudice from all matters, and a dismissal has been entered by the court.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10, 2020, the State of Delaware filed suit, individually and on behalf of the people of the State of Delaware, against over 25 oil and gas companies alleging damages as a result of global warming. Plaintiffs seek unspecified damages and abatement under various tort theories.</w:t>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Kulp Minerals Lawsuit</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On or about April 7, 2023, Apache was sued in a purported class action in New Mexico styled </w:t>
      </w:r>
      <w:r>
        <w:rPr>
          <w:rFonts w:ascii="Times New Roman;sans-serif" w:hAnsi="Times New Roman;sans-serif"/>
          <w:b w:val="false"/>
          <w:i/>
          <w:color w:val="000000"/>
          <w:sz w:val="20"/>
        </w:rPr>
        <w:t>Kulp Minerals LLC v. Apache Corporation</w:t>
      </w:r>
      <w:r>
        <w:rPr>
          <w:rFonts w:ascii="Times New Roman;sans-serif" w:hAnsi="Times New Roman;sans-serif"/>
          <w:b w:val="false"/>
          <w:color w:val="000000"/>
          <w:sz w:val="20"/>
        </w:rPr>
        <w:t xml:space="preserve">, Case No. D-506-CV-2023-00352 in the Fifth Judicial District. The </w:t>
      </w:r>
      <w:r>
        <w:rPr>
          <w:rFonts w:ascii="Times New Roman;sans-serif" w:hAnsi="Times New Roman;sans-serif"/>
          <w:b w:val="false"/>
          <w:i/>
          <w:color w:val="000000"/>
          <w:sz w:val="20"/>
        </w:rPr>
        <w:t>Kulp Minerals</w:t>
      </w:r>
      <w:r>
        <w:rPr>
          <w:color w:val="000000"/>
        </w:rPr>
        <w:t xml:space="preserve"> </w:t>
      </w:r>
      <w:r>
        <w:rPr>
          <w:rFonts w:ascii="Times New Roman;sans-serif" w:hAnsi="Times New Roman;sans-serif"/>
          <w:b w:val="false"/>
          <w:color w:val="000000"/>
          <w:sz w:val="20"/>
        </w:rPr>
        <w:t>case has not been certified and seeks to represent a group of owners allegedly owed statutory interest under New Mexico law as a result of purported late oil and gas payments. The amount of this claim is not yet reasonably determinable. The Company intends to vigorously defend against the claims asserted in this lawsuit.</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Shareholder and Derivative Lawsuits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On February 23, 2021, a case captioned </w:t>
      </w:r>
      <w:r>
        <w:rPr>
          <w:rFonts w:ascii="Times New Roman;sans-serif" w:hAnsi="Times New Roman;sans-serif"/>
          <w:b w:val="false"/>
          <w:i/>
          <w:color w:val="000000"/>
          <w:sz w:val="20"/>
        </w:rPr>
        <w:t>Plymouth County Retirement System v. Apache Corporation, et al.</w:t>
      </w:r>
      <w:r>
        <w:rPr>
          <w:color w:val="000000"/>
        </w:rPr>
        <w:t xml:space="preserve"> </w:t>
      </w:r>
      <w:r>
        <w:rPr>
          <w:rFonts w:ascii="Times New Roman;sans-serif" w:hAnsi="Times New Roman;sans-serif"/>
          <w:b w:val="false"/>
          <w:color w:val="000000"/>
          <w:sz w:val="20"/>
        </w:rPr>
        <w:t>was filed in the United States District Court for the Southern District of Texas (Houston Division) against the Company and certain current and former officers. The complaint, which is a shareholder lawsuit styled as a class action, alleges, among other things, that (1) the Company intentionally used unrealistic assumptions regarding the amount and composition of available oil and gas in Alpine High; (2) the Company did not have the proper infrastructure in place to safely and/or economically drill and/or transport those resources even if they existed in the amounts purported; (3) certain statements and omissions artificially inflated the value of the Company’s operations in the Permian Basin; and (4) as a result, the Company’s public statements were materially false and misleading. With no admission, concession, or finding of any fault, liability, or wrongdoing, but only to avoid the expense and uncertainty of litigation, the parties have agreed to a settlement resolving all claims made against the defendants by the class. The settlement agreement has been preliminarily approved by the court, and final approval of the settlement is expected to occur prior to the end of 2024. The settlement will not have a material impact on the Company’s financial position, results of operations, or liquidity and is subject to insurance coverage that companies have for these types of claims.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On February 21, 2023, a case captioned </w:t>
      </w:r>
      <w:r>
        <w:rPr>
          <w:rFonts w:ascii="Times New Roman;sans-serif" w:hAnsi="Times New Roman;sans-serif"/>
          <w:b w:val="false"/>
          <w:i/>
          <w:color w:val="000000"/>
          <w:sz w:val="20"/>
        </w:rPr>
        <w:t>Steve Silverman, Derivatively and on behalf of Nominal Defendant APA Corp. v. John J. Christmann IV, et al.</w:t>
      </w:r>
      <w:r>
        <w:rPr>
          <w:color w:val="000000"/>
        </w:rPr>
        <w:t xml:space="preserve"> </w:t>
      </w:r>
      <w:r>
        <w:rPr>
          <w:rFonts w:ascii="Times New Roman;sans-serif" w:hAnsi="Times New Roman;sans-serif"/>
          <w:b w:val="false"/>
          <w:color w:val="000000"/>
          <w:sz w:val="20"/>
        </w:rPr>
        <w:t xml:space="preserve">was filed in federal district court for the Southern District of Texas. Then, on July 21, 2023, a case captioned </w:t>
      </w:r>
      <w:r>
        <w:rPr>
          <w:rFonts w:ascii="Times New Roman;sans-serif" w:hAnsi="Times New Roman;sans-serif"/>
          <w:b w:val="false"/>
          <w:i/>
          <w:color w:val="000000"/>
          <w:sz w:val="20"/>
        </w:rPr>
        <w:t>Yang-Li-Yu, Derivatively and on behalf of Nominal Defendant APA Corp. v. John J. Christmann IV, et al.</w:t>
      </w:r>
      <w:r>
        <w:rPr>
          <w:color w:val="000000"/>
        </w:rPr>
        <w:t xml:space="preserve"> </w:t>
      </w:r>
      <w:r>
        <w:rPr>
          <w:rFonts w:ascii="Times New Roman;sans-serif" w:hAnsi="Times New Roman;sans-serif"/>
          <w:b w:val="false"/>
          <w:color w:val="000000"/>
          <w:sz w:val="20"/>
        </w:rPr>
        <w:t xml:space="preserve">was filed in federal district court for the Southern District of Texas. Those cases were consolidated as </w:t>
      </w:r>
      <w:r>
        <w:rPr>
          <w:rFonts w:ascii="Times New Roman;sans-serif" w:hAnsi="Times New Roman;sans-serif"/>
          <w:b w:val="false"/>
          <w:i/>
          <w:color w:val="000000"/>
          <w:sz w:val="20"/>
        </w:rPr>
        <w:t>In Re APA Corporation Derivative Litigation</w:t>
      </w:r>
      <w:r>
        <w:rPr>
          <w:rFonts w:ascii="Times New Roman;sans-serif" w:hAnsi="Times New Roman;sans-serif"/>
          <w:b w:val="false"/>
          <w:color w:val="000000"/>
          <w:sz w:val="20"/>
        </w:rPr>
        <w:t xml:space="preserve">, Case No. 4:23-cv-00636 in the Southern District of Texas and purported to be derivative actions brought against senior management and Company directors over many of the same allegations included in the </w:t>
      </w:r>
      <w:r>
        <w:rPr>
          <w:rFonts w:ascii="Times New Roman;sans-serif" w:hAnsi="Times New Roman;sans-serif"/>
          <w:b w:val="false"/>
          <w:i/>
          <w:color w:val="000000"/>
          <w:sz w:val="20"/>
        </w:rPr>
        <w:t>Plymouth County Retirement System</w:t>
      </w:r>
      <w:r>
        <w:rPr>
          <w:color w:val="000000"/>
        </w:rPr>
        <w:t xml:space="preserve"> </w:t>
      </w:r>
      <w:r>
        <w:rPr>
          <w:rFonts w:ascii="Times New Roman;sans-serif" w:hAnsi="Times New Roman;sans-serif"/>
          <w:b w:val="false"/>
          <w:color w:val="000000"/>
          <w:sz w:val="20"/>
        </w:rPr>
        <w:t>matter and asserting claims of (1) breach of fiduciary duty; (2) waste of corporate assets; and (3) unjust enrichment. The defendants filed a motion to dismiss the consolidated lawsuits, and on September 26, 2024, the federal court issued a final judgment granting the defendants’ motion and dismissing the consolidated claims against the defendants.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Environmental Matters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Company had an undiscounted reserve for environmental remediation of approximately $2 million.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11, 2020, the Company received a Notice of Violation and Finding of Violation, and accompanying Clean Air Act Information Request, from the U.S. Environmental Protection Agency (EPA) following site inspections in April 2019 at several of the Company’s oil and natural gas production facilities in Lea and Eddy Counties, New Mexico. Then on December 29, 2020, the Company received a Notice of Violation and Opportunity to Confer, and accompanying Clean Air Act Information Request, from the EPA following helicopter flyovers in September 2019 of several of the Company’s oil and natural gas production facilities in Reeves County, Texas. The notices and information requests involved alleged emissions control and reporting violations. The Company cooperated with the EPA, responded to the information requests, and negotiated and entered into a consent decree to resolve the alleged violations in both New Mexico and Texas, which has been approved and entered by the Court. The consideration provided by the Company in connection with the consent decree, which included a $4 million payment, did not have a material impact on the Company’s financial position.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not aware of any environmental claims existing as of September 30, 2024, that have not been provided for or would otherwise have a material impact on its financial position, results of operations, or liquidity. There can be no assurance, however, that current regulatory requirements will not change or past non-compliance with environmental laws will not be discovered on the Company’s properties.</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Potential Decommissioning Obligations on Sold Properties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In 2013, Apache sold its Gulf of Mexico (GOM) Shelf operations and properties and its GOM operating subsidiary, GOM Shelf LLC (GOM Shelf) to Fieldwood Energy LLC (Fieldwood). Fieldwood assumed the obligation to decommission the properties held by GOM Shelf and the properties acquired from Apache and its other subsidiaries (collectively, the Legacy GOM Assets). On February 14, 2018, Fieldwood filed for (and subsequently emerged from) Chapter 11 bankruptcy protection. On August 3, 2020, Fieldwood filed for (and subsequently emerged from) Chapter 11 bankruptcy protection for a second time. Upon emergence from this second bankruptcy, </w:t>
      </w:r>
      <w:r>
        <w:rPr>
          <w:rFonts w:ascii="Times New Roman;sans-serif" w:hAnsi="Times New Roman;sans-serif"/>
          <w:b w:val="false"/>
          <w:color w:val="000000"/>
          <w:sz w:val="20"/>
          <w:shd w:fill="FFFFFF" w:val="clear"/>
        </w:rPr>
        <w:t>the Legacy GOM Assets were separated into a standalone company, which was subsequently merged into GOM Shelf. Under GOM Shelf’s limited liability company agreement, the proceeds of production of the Legacy GOM Assets are to be used to fund the operation of GOM Shelf and the decommissioning of Legacy GOM Assets.</w:t>
      </w:r>
      <w:r>
        <w:rPr>
          <w:color w:val="000000"/>
        </w:rPr>
        <w:t xml:space="preserve"> </w:t>
      </w:r>
      <w:r>
        <w:rPr>
          <w:rFonts w:ascii="Times New Roman;sans-serif" w:hAnsi="Times New Roman;sans-serif"/>
          <w:b w:val="false"/>
          <w:color w:val="000000"/>
          <w:sz w:val="20"/>
          <w:shd w:fill="FFFFFF" w:val="clear"/>
        </w:rPr>
        <w:t xml:space="preserve">Pursuant to the terms of the original transaction, as amended in the first bankruptcy, </w:t>
      </w:r>
      <w:r>
        <w:rPr>
          <w:rFonts w:ascii="Times New Roman;sans-serif" w:hAnsi="Times New Roman;sans-serif"/>
          <w:b w:val="false"/>
          <w:color w:val="000000"/>
          <w:sz w:val="20"/>
        </w:rPr>
        <w:t>the securing of the asset retirement obligations for the Legacy GOM Assets as and when Apache is required to perform or pay for any such decommissioning was accomplished through the posting of letters of credit in favor of Apache (Letters of Credit), the provision of two bonds (Bonds) in favor of Apache, and the establishment of a trust account of which Apache was a beneficiary and which was funded by net profits interests (NPIs) depending on future oil prices. In addition, after such sources have been exhausted, Apache agreed upon resolution of GOM Shelf’s second bankruptcy to provide a standby loan to GOM Shelf of up to $400 million to perform decommissioning, with such standby loan secured by a first and prior lien on the Legacy GOM Assets.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letter dated April 5, 2022 (replacing two earlier letters) and by subsequent letter dated March 1, 2023, GOM Shelf notified the Bureau of Safety and Environmental Enforcement (BSEE) that it was unable to fund the decommissioning obligations that it was obligated to perform on certain of the Legacy GOM Assets. As a result, Apache and other current and former owners in these assets have received orders from BSEE and demands from third parties to decommission certain of the Legacy GOM Assets included in GOM Shelf’s notifications to BSEE. Apache expects to receive similar orders and demands on the other Legacy GOM Assets included in GOM Shelf’s notification letters. Apache has also received orders to decommission other Legacy GOM Assets that were not included in GOM Shelf’s notification letters. Further, Apache anticipates that GOM Shelf may send additional such notices to BSEE in the future and that it may receive additional orders from BSEE requiring it to decommission other Legacy GOM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On June 21, 2023, two sureties that issued Bonds directly to Apache and two sureties that issued bonds to the issuing bank on the Letters of Credit filed suit against Apache in a case styled </w:t>
      </w:r>
      <w:r>
        <w:rPr>
          <w:rFonts w:ascii="Times New Roman;sans-serif" w:hAnsi="Times New Roman;sans-serif"/>
          <w:b w:val="false"/>
          <w:i/>
          <w:color w:val="000000"/>
          <w:sz w:val="20"/>
        </w:rPr>
        <w:t>Zurich American Insurance Company, HCC International Insurance Company PLC, Philadelphia Indemnity Insurance Company and Everest Reinsurance Company (Insurers) v. Apache Corporation</w:t>
      </w:r>
      <w:r>
        <w:rPr>
          <w:rFonts w:ascii="Times New Roman;sans-serif" w:hAnsi="Times New Roman;sans-serif"/>
          <w:b w:val="false"/>
          <w:color w:val="000000"/>
          <w:sz w:val="20"/>
        </w:rPr>
        <w:t>, Cause No. 2023-38238 in the 281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Judicial District Court, Harris County Texas. The sureties sought to prevent Apache from drawing on the Bonds and Letters of Credit and further alleged that they are discharged from their reimbursement obligations related to decommissioning costs and are entitled to other relief. On July 20, 2023, the 281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Judicial District Court denied the Insurers’ request for a temporary injunction. On July 26, 2023, Apache removed the suit to the United States Bankruptcy Court for the Southern District of Texas (Houston Division). Since the time the sureties filed their state court lawsuit, Apache has drawn down the entirety of the Letters of Credit. Apache has also sought to draw down on the Bonds; however, the sureties refuse to pay such Bond draws. On September 12, 2024, the bankruptcy court issued its opinion (1) finding that sureties’ state court lawsuit against Apache was void; (2) holding that Apache’s claims against the sureties for unpaid amounts may proceed in bankruptcy court; and (3) holding the sureties in civil contempt and awarding attorneys’ fees to Apache as a sanction in an amount to be determined in a future hearing. That hearing took place on October 24, 2024, although the Court has not yet issued a ruling on the issues addressed, including any award of attorney’s fees to Apache. Apache is vigorously pursuing its claims against the sureties.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Company has recorded a $188 million asset, which represents the remaining amount the Company expects to be reimbursed from security related to these decommissioning costs.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recorded contingent liabilities in the amounts of $853 million and $824 million as of September 30, 2024 and December 31, 2023, respectively, representing the estimated costs of decommissioning it may be required to perform on the Legacy GOM Assets. The Company recognized $83 million in the first nine months of 2024 of “Loss on previously sold Gulf of Mexico properties.” Amounts recorded in the first nine months of 2024 included $50 million related to orders received during the period from BSEE to decommission properties previously sold to Cox Operating LLC and to decommission a property operated and produced by Fieldwood Energy Offshore and Dynamic Offshore Resources NS, LLC. The Company recognized no losses for decommissioning previously sold properties during the third quarter and the first nine months of 2023. There have been no other changes in estimates from December 31, 2023 that would have a material impact on the Company’s financial position,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12.    CAPITAL STOCK</w:t>
      </w:r>
    </w:p>
    <w:p>
      <w:pPr>
        <w:pStyle w:val="TextBody"/>
        <w:bidi w:val="0"/>
        <w:spacing w:lineRule="auto" w:line="288" w:before="200" w:after="283"/>
        <w:jc w:val="both"/>
        <w:rPr/>
      </w:pPr>
      <w:r>
        <w:rPr>
          <w:rFonts w:ascii="Times New Roman;sans-serif" w:hAnsi="Times New Roman;sans-serif"/>
          <w:b/>
          <w:color w:val="000000"/>
          <w:sz w:val="20"/>
          <w:u w:val="single"/>
        </w:rPr>
        <w:t>Net Income (Loss) per Common Share</w:t>
      </w:r>
      <w:r>
        <w:rPr>
          <w:color w:val="000000"/>
        </w:rPr>
        <w:t xml:space="preserve">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the components of basic and diluted net income (loss) per common share in the consolidated financial statements:</w:t>
      </w:r>
    </w:p>
    <w:tbl>
      <w:tblPr>
        <w:tblW w:w="9843" w:type="dxa"/>
        <w:jc w:val="left"/>
        <w:tblInd w:w="0" w:type="dxa"/>
        <w:tblLayout w:type="fixed"/>
        <w:tblCellMar>
          <w:top w:w="28" w:type="dxa"/>
          <w:left w:w="28" w:type="dxa"/>
          <w:bottom w:w="28" w:type="dxa"/>
          <w:right w:w="28" w:type="dxa"/>
        </w:tblCellMar>
      </w:tblPr>
      <w:tblGrid>
        <w:gridCol w:w="1145"/>
        <w:gridCol w:w="1007"/>
        <w:gridCol w:w="1028"/>
        <w:gridCol w:w="109"/>
        <w:gridCol w:w="109"/>
        <w:gridCol w:w="109"/>
        <w:gridCol w:w="196"/>
        <w:gridCol w:w="496"/>
        <w:gridCol w:w="109"/>
        <w:gridCol w:w="109"/>
        <w:gridCol w:w="109"/>
        <w:gridCol w:w="109"/>
        <w:gridCol w:w="210"/>
        <w:gridCol w:w="211"/>
        <w:gridCol w:w="211"/>
        <w:gridCol w:w="109"/>
        <w:gridCol w:w="109"/>
        <w:gridCol w:w="109"/>
        <w:gridCol w:w="213"/>
        <w:gridCol w:w="541"/>
        <w:gridCol w:w="120"/>
        <w:gridCol w:w="109"/>
        <w:gridCol w:w="109"/>
        <w:gridCol w:w="109"/>
        <w:gridCol w:w="196"/>
        <w:gridCol w:w="556"/>
        <w:gridCol w:w="109"/>
        <w:gridCol w:w="109"/>
        <w:gridCol w:w="109"/>
        <w:gridCol w:w="109"/>
        <w:gridCol w:w="210"/>
        <w:gridCol w:w="211"/>
        <w:gridCol w:w="211"/>
        <w:gridCol w:w="109"/>
        <w:gridCol w:w="109"/>
        <w:gridCol w:w="109"/>
        <w:gridCol w:w="216"/>
        <w:gridCol w:w="514"/>
        <w:gridCol w:w="171"/>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6"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 September 30,</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Loss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attributable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attributable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6"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 September 30,</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attributable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attributable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diluted earnings per share calculation excludes options and restricted stock units that were anti-dilutive of 1.9 million and 1.7 million during the third quarters of 2024 and 2023, respectively, and 2.0 million and 2.0 million during the first nine months of 2024 and 2023, respectively.</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Stock Repurchase Program</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2021, the Company's Board of Directors authorized the purchase of 40 million shares of the Company's common stock. During the third quarter of 2022, the Company's Board of Directors authorized the purchase of an additional 40 million shares of the Company's common stock.</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third quarter of 2024, the Company repurchased approximately 0.1 million shares at an average price of $29.33 per share. For the nine months ended September 30, 2024, the Company repurchased 4.6 million shares at an average price of $31.72 per share, and as of September 30, 2024, the Company had remaining authorization to repurchase up to 39.3 million shares. In the third quarter of 2023, the Company repurchased 0.5 million shares at an average price of $41.90 per share. For the nine months ended September 30, 2023, the Company repurchased 5.5 million shares at an average price of $37.91 per share.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not obligated to acquire any additional shares. Shares may be purchased either in the open market or through privately negotiated transactions. </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Common Stock Dividend</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the quarters ended September 30, 2024 and 2023, the Company paid $92 million and $77 million, respectively, in dividends on its common stock. For the nine months ended September 30, 2024 and 2023, the Company paid $260 million and $232 million, respectively, in dividends on its common stock.</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Common Stock Issuance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2024, in connection with the Callon acquisition, the Company issued approximately 70 million shares of common stock in exchange for Callon common stock. The total value of stock consideration was approximately $2.4 billion based on APA’s stock price on the closing date of the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13.    BUSINESS SEGMENT INFORMATION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Company’s consolidated subsidiaries are engaged in exploration and production (Upstream) activities across three operating segments: the U.S., Egypt, and North Sea. The Company’s Upstream business explores for, develops, and produces crude oil, natural gas, and natural gas liquids. The Company also has active exploration and planned appraisal operations ongoing in Suriname, as well as interests in Uruguay and other international locations that may, over time, result in reportable discoveries and development opportunities. Financial information for each segment is presented below:</w:t>
      </w:r>
    </w:p>
    <w:tbl>
      <w:tblPr>
        <w:tblW w:w="10205" w:type="dxa"/>
        <w:jc w:val="left"/>
        <w:tblInd w:w="0" w:type="dxa"/>
        <w:tblLayout w:type="fixed"/>
        <w:tblCellMar>
          <w:top w:w="28" w:type="dxa"/>
          <w:left w:w="28" w:type="dxa"/>
          <w:bottom w:w="28" w:type="dxa"/>
          <w:right w:w="28" w:type="dxa"/>
        </w:tblCellMar>
      </w:tblPr>
      <w:tblGrid>
        <w:gridCol w:w="1522"/>
        <w:gridCol w:w="1331"/>
        <w:gridCol w:w="1336"/>
        <w:gridCol w:w="109"/>
        <w:gridCol w:w="109"/>
        <w:gridCol w:w="109"/>
        <w:gridCol w:w="196"/>
        <w:gridCol w:w="556"/>
        <w:gridCol w:w="109"/>
        <w:gridCol w:w="109"/>
        <w:gridCol w:w="109"/>
        <w:gridCol w:w="109"/>
        <w:gridCol w:w="196"/>
        <w:gridCol w:w="421"/>
        <w:gridCol w:w="109"/>
        <w:gridCol w:w="109"/>
        <w:gridCol w:w="109"/>
        <w:gridCol w:w="109"/>
        <w:gridCol w:w="204"/>
        <w:gridCol w:w="517"/>
        <w:gridCol w:w="113"/>
        <w:gridCol w:w="109"/>
        <w:gridCol w:w="109"/>
        <w:gridCol w:w="109"/>
        <w:gridCol w:w="289"/>
        <w:gridCol w:w="600"/>
        <w:gridCol w:w="162"/>
        <w:gridCol w:w="109"/>
        <w:gridCol w:w="109"/>
        <w:gridCol w:w="109"/>
        <w:gridCol w:w="196"/>
        <w:gridCol w:w="556"/>
        <w:gridCol w:w="157"/>
      </w:tblGrid>
      <w:tr>
        <w:trPr/>
        <w:tc>
          <w:tcPr>
            <w:tcW w:w="1522"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Egypt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Sea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Intersegment</w:t>
              <w:br/>
              <w:t>Eliminations</w:t>
              <w:br/>
              <w:t>&amp;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w:t>
            </w:r>
            <w:r>
              <w:rPr>
                <w:rFonts w:ascii="Times New Roman;sans-serif" w:hAnsi="Times New Roman;sans-serif"/>
                <w:b/>
                <w:color w:val="000000"/>
                <w:sz w:val="10"/>
              </w:rPr>
              <w:t>(4)</w:t>
            </w:r>
          </w:p>
        </w:tc>
      </w:tr>
      <w:tr>
        <w:trPr/>
        <w:tc>
          <w:tcPr>
            <w:tcW w:w="4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Quarter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liquids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natural gas, and natural gas liquids production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Gathering, processing, and transmission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other than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retirement obligation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Operating Income (Loss)</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divestitures,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reorganization, and separation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37"/>
        <w:gridCol w:w="1203"/>
        <w:gridCol w:w="1208"/>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283"/>
        <w:gridCol w:w="609"/>
        <w:gridCol w:w="159"/>
        <w:gridCol w:w="109"/>
        <w:gridCol w:w="109"/>
        <w:gridCol w:w="109"/>
        <w:gridCol w:w="196"/>
        <w:gridCol w:w="646"/>
        <w:gridCol w:w="156"/>
      </w:tblGrid>
      <w:tr>
        <w:trPr/>
        <w:tc>
          <w:tcPr>
            <w:tcW w:w="143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Egypt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Sea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Intersegment</w:t>
              <w:br/>
              <w:t>Eliminations</w:t>
              <w:br/>
              <w:t>&amp;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w:t>
            </w:r>
            <w:r>
              <w:rPr>
                <w:rFonts w:ascii="Times New Roman;sans-serif" w:hAnsi="Times New Roman;sans-serif"/>
                <w:b/>
                <w:color w:val="000000"/>
                <w:sz w:val="10"/>
              </w:rPr>
              <w:t>(4)</w:t>
            </w:r>
          </w:p>
        </w:tc>
      </w:tr>
      <w:tr>
        <w:trPr/>
        <w:tc>
          <w:tcPr>
            <w:tcW w:w="3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liquids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natural gas, and natural gas liquids production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Gathering, processing, and transmission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other than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retirement obligation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Operating Income (Loss)</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offshore decommissioning contingency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divestitures,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reorganization, and separation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Total Assets</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13,847 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565 </w:t>
            </w:r>
          </w:p>
        </w:tc>
        <w:tc>
          <w:tcPr>
            <w:tcW w:w="1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19,376 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tbl>
      <w:tblPr>
        <w:tblW w:w="10173" w:type="dxa"/>
        <w:jc w:val="left"/>
        <w:tblInd w:w="0" w:type="dxa"/>
        <w:tblLayout w:type="fixed"/>
        <w:tblCellMar>
          <w:top w:w="28" w:type="dxa"/>
          <w:left w:w="28" w:type="dxa"/>
          <w:bottom w:w="28" w:type="dxa"/>
          <w:right w:w="28" w:type="dxa"/>
        </w:tblCellMar>
      </w:tblPr>
      <w:tblGrid>
        <w:gridCol w:w="1554"/>
        <w:gridCol w:w="1365"/>
        <w:gridCol w:w="1370"/>
        <w:gridCol w:w="109"/>
        <w:gridCol w:w="109"/>
        <w:gridCol w:w="109"/>
        <w:gridCol w:w="196"/>
        <w:gridCol w:w="421"/>
        <w:gridCol w:w="109"/>
        <w:gridCol w:w="109"/>
        <w:gridCol w:w="109"/>
        <w:gridCol w:w="109"/>
        <w:gridCol w:w="196"/>
        <w:gridCol w:w="421"/>
        <w:gridCol w:w="109"/>
        <w:gridCol w:w="109"/>
        <w:gridCol w:w="109"/>
        <w:gridCol w:w="109"/>
        <w:gridCol w:w="227"/>
        <w:gridCol w:w="487"/>
        <w:gridCol w:w="126"/>
        <w:gridCol w:w="109"/>
        <w:gridCol w:w="109"/>
        <w:gridCol w:w="109"/>
        <w:gridCol w:w="289"/>
        <w:gridCol w:w="600"/>
        <w:gridCol w:w="162"/>
        <w:gridCol w:w="109"/>
        <w:gridCol w:w="109"/>
        <w:gridCol w:w="109"/>
        <w:gridCol w:w="196"/>
        <w:gridCol w:w="556"/>
        <w:gridCol w:w="154"/>
      </w:tblGrid>
      <w:tr>
        <w:trPr/>
        <w:tc>
          <w:tcPr>
            <w:tcW w:w="1554"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Egypt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Sea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Intersegment</w:t>
              <w:br/>
              <w:t>Eliminations</w:t>
              <w:br/>
              <w:t>&amp;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w:t>
            </w:r>
            <w:r>
              <w:rPr>
                <w:rFonts w:ascii="Times New Roman;sans-serif" w:hAnsi="Times New Roman;sans-serif"/>
                <w:b/>
                <w:color w:val="000000"/>
                <w:sz w:val="10"/>
              </w:rPr>
              <w:t>(4)</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Quarter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liquids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natural gas, and natural gas liquids production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Gathering, processing, and transmission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other than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retirement obligation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Operating Income (Loss)</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Gain on divestitures,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reorganization, and separation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42"/>
        <w:gridCol w:w="1246"/>
        <w:gridCol w:w="1251"/>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83"/>
        <w:gridCol w:w="609"/>
        <w:gridCol w:w="159"/>
        <w:gridCol w:w="109"/>
        <w:gridCol w:w="109"/>
        <w:gridCol w:w="109"/>
        <w:gridCol w:w="196"/>
        <w:gridCol w:w="646"/>
        <w:gridCol w:w="155"/>
      </w:tblGrid>
      <w:tr>
        <w:trPr/>
        <w:tc>
          <w:tcPr>
            <w:tcW w:w="14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Egypt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Sea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Intersegment</w:t>
              <w:br/>
              <w:t>Eliminations</w:t>
              <w:br/>
              <w:t>&amp;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w:t>
            </w:r>
            <w:r>
              <w:rPr>
                <w:rFonts w:ascii="Times New Roman;sans-serif" w:hAnsi="Times New Roman;sans-serif"/>
                <w:b/>
                <w:color w:val="000000"/>
                <w:sz w:val="10"/>
              </w:rPr>
              <w:t>(4)</w:t>
            </w:r>
          </w:p>
        </w:tc>
      </w:tr>
      <w:tr>
        <w:trPr/>
        <w:tc>
          <w:tcPr>
            <w:tcW w:w="3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liquids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natural gas, and natural gas liquids production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Gathering, processing, and transmission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other than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retirement obligation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Operating Income (Loss)</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 gains,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divestitures,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reorganization, and separation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Total Assets</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535 </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13,545 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(1)Includes oil and gas production revenue that will be paid as taxes by EGPC on behalf of the Company for the quarters and nine months ended September 30, 2024 and 2023 of:</w:t>
      </w:r>
    </w:p>
    <w:tbl>
      <w:tblPr>
        <w:tblW w:w="7635" w:type="dxa"/>
        <w:jc w:val="left"/>
        <w:tblInd w:w="0" w:type="dxa"/>
        <w:tblLayout w:type="fixed"/>
        <w:tblCellMar>
          <w:top w:w="28" w:type="dxa"/>
          <w:left w:w="28" w:type="dxa"/>
          <w:bottom w:w="28" w:type="dxa"/>
          <w:right w:w="28" w:type="dxa"/>
        </w:tblCellMar>
      </w:tblPr>
      <w:tblGrid>
        <w:gridCol w:w="325"/>
        <w:gridCol w:w="287"/>
        <w:gridCol w:w="288"/>
        <w:gridCol w:w="109"/>
        <w:gridCol w:w="109"/>
        <w:gridCol w:w="109"/>
        <w:gridCol w:w="315"/>
        <w:gridCol w:w="678"/>
        <w:gridCol w:w="175"/>
        <w:gridCol w:w="175"/>
        <w:gridCol w:w="175"/>
        <w:gridCol w:w="175"/>
        <w:gridCol w:w="315"/>
        <w:gridCol w:w="678"/>
        <w:gridCol w:w="175"/>
        <w:gridCol w:w="109"/>
        <w:gridCol w:w="109"/>
        <w:gridCol w:w="109"/>
        <w:gridCol w:w="346"/>
        <w:gridCol w:w="744"/>
        <w:gridCol w:w="192"/>
        <w:gridCol w:w="192"/>
        <w:gridCol w:w="192"/>
        <w:gridCol w:w="192"/>
        <w:gridCol w:w="346"/>
        <w:gridCol w:w="744"/>
        <w:gridCol w:w="272"/>
      </w:tblGrid>
      <w:tr>
        <w:trPr/>
        <w:tc>
          <w:tcPr>
            <w:tcW w:w="3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(2)Operating loss of Suriname includes leasehold impairments of $1 million for the third quarter of 2024. </w:t>
        <w:br/>
        <w:t>Operating income (loss) of U.S., North Sea, and Suriname includes leasehold impairments of $2 million, $6 million, and $1 million, respectively, for the third quarter of 2023. Operating income (loss) of U.S. and Suriname includes leasehold impairments of $10 million and $1 million, respectively, for the first nine months of 2024. Operating income (loss) of U.S., North Sea, and Suriname includes leasehold impairments of $7 million, $12 million, and $1 million, respectively, for the first nine months of 2023.</w:t>
      </w:r>
    </w:p>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(3)Intercompany balances are excluded from total assets.</w:t>
      </w:r>
    </w:p>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(4)Includes noncontrolling interests in Egypt.</w:t>
      </w:r>
    </w:p>
    <w:p>
      <w:pPr>
        <w:pStyle w:val="TextBody"/>
        <w:bidi w:val="0"/>
        <w:spacing w:before="60" w:after="283"/>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080"/>
        <w:jc w:val="left"/>
        <w:rPr/>
      </w:pPr>
      <w:r>
        <w:rPr>
          <w:rFonts w:ascii="Times New Roman;sans-serif" w:hAnsi="Times New Roman;sans-serif"/>
          <w:b/>
          <w:color w:val="000000"/>
          <w:sz w:val="20"/>
        </w:rPr>
        <w:t>ITEM 2</w:t>
      </w:r>
      <w:r>
        <w:rPr>
          <w:rFonts w:ascii="Times New Roman;sans-serif" w:hAnsi="Times New Roman;sans-serif"/>
          <w:b w:val="false"/>
          <w:color w:val="000000"/>
          <w:sz w:val="20"/>
        </w:rPr>
        <w:t>.    </w:t>
      </w: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The following discussion relates to APA Corporation (APA or the Company) and its consolidated subsidiaries and should be read together with the Company’s Consolidated Financial Statements and accompanying notes included in Part I, </w:t>
      </w:r>
      <w:hyperlink w:anchor="i157ee99daef34ad8b761272c789e67a2_19">
        <w:r>
          <w:rPr>
            <w:rStyle w:val="InternetLink"/>
            <w:rFonts w:ascii="Times New Roman;sans-serif" w:hAnsi="Times New Roman;sans-serif"/>
            <w:b w:val="false"/>
            <w:color w:val="0000FF"/>
            <w:sz w:val="20"/>
            <w:u w:val="single"/>
          </w:rPr>
          <w:t>Item 1—Financial Statements</w:t>
        </w:r>
      </w:hyperlink>
      <w:r>
        <w:rPr>
          <w:color w:val="000000"/>
        </w:rPr>
        <w:t xml:space="preserve"> </w:t>
      </w:r>
      <w:r>
        <w:rPr>
          <w:rFonts w:ascii="Times New Roman;sans-serif" w:hAnsi="Times New Roman;sans-serif"/>
          <w:b w:val="false"/>
          <w:color w:val="000000"/>
          <w:sz w:val="20"/>
        </w:rPr>
        <w:t>of this Quarterly Report on Form 10-Q, as well as related information set forth in the Company’s Consolidated Financial Statements, accompanying Notes to Consolidated Financial Statements, and Management’s Discussion and Analysis of Financial Condition and Results of Operations included in the Company’s Annual Report on Form 10-K for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Overview</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APA is an independent energy company that owns consolidated subsidiaries that explore for, develop, and produce natural gas, crude oil, and natural gas liquids (NGLs). The Company’s upstream business has oil and gas operations in three geographic areas: the U.S., Egypt, and offshore the U.K. in the North Sea (North Sea). APA also has active exploration and appraisal operations ongoing in Suriname, as well as interests in Uruguay and other international locations that may, over time, result in reportable discoveries and development opportunities. As a holding company, APA Corporation’s primary assets are its ownership interests in its subsidiaries.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APA believes energy underpins global progress, and the Company wants to be a part of the solution as society works to meet growing global demand for reliable and affordable energy. APA strives to meet those challenges while creating value for all its stakeholders.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Uncertainties in the global supply chain and financial markets, including the impact of ongoing international conflicts, inflation, and actions taken by foreign oil and gas producing nations, including OPEC+, impact oil supply and demand and contribute to commodity price volatility. Despite these uncertainties, the Company remains committed to its longer-term objectives: (1) to invest for long-term returns in pursuit of moderate, sustainable production growth; (2) to strengthen the balance sheet to underpin the generation of cash flow in excess of its upstream exploration, appraisal, and development capital program that can be directed to debt reduction, share repurchases, and other return of capital to its shareholders; and (3) to responsibly manage its cost structure regardless of the oil price environment.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closely monitors hydrocarbon pricing fundamentals to reallocate capital as part of its ongoing planning process. APA’s diversified asset portfolio and operational flexibility provide the Company the ability to timely respond to near-term price volatility and effectively manage its investment programs accordingly. For additional detail on the Company’s forward capital investment outlook, refer to “Capital Resources and Liquidity” below.</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remains committed to its capital return framework for equity holders to participate more directly and materially in cash returns.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Company believes returning 60 percent of cash flow over capital investment creates a good balance for providing near-term cash returns to shareholders while still recognizing the importance of longer-term balance sheet strengthening.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Company pays a quarterly dividend of $0.25 per share on its common stock.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Beginning in the fourth quarter of 2021 and through the end of the third quarter of 2024, the Company has repurchased 80.7 million shares of the Company’s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Financial and Operational Highlights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2024, APA completed its acquisition of Callon Petroleum Company (Callon) in an all-stock transaction valued at approximately $4.5 billion, inclusive of Callon’s debt (the Callon acquisition). The acquired assets include approximately 120,000 net acres in the Delaware Basin and 25,000 net acres in the Midland Basin. The Company believes the acquisition of Callon provides opportunities to reduce costs, improve capital efficiencies, leverage economies of scale, and expand the development inventory that formed the basis of the transaction value.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terms of the merger agreement (Merger Agreement), each share of Callon common stock was converted into the right to receive 1.0425 shares of APA common stock, with cash in lieu of fractional shares. As a result, APA issued approximately 70 million shares of APA common stock in connection with the transaction, and following the acquisition, Callon common stock is no longer listed for trading on the NYSE.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10, 2024, APA announced it entered into an agreement to sell non-core producing properties in the Permian Basin to an undisclosed buyer for $950 million, prior to customary closing adjustments. The properties are located in the Central Basin Platform, Texas and New Mexico Shelf, and Northwest Shelf and currently represent estimated net production of 21,000 barrels of oil equivalent per day, of which approximately 57 percent is oil. Proceeds from this sale are expected to be used primarily to reduce debt. The effective date of the transaction is July 1, 2024, and the transaction is expected to close during the fourth quarter of 2024.</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2024, the Company reported a net loss attributable to common stock of $223 million, or $0.60 per diluted share, compared to net income of $459 million, or $1.49 per diluted share, in the third quarter of 2023. The decrease in net income in the third quarter of 2024 compared to the third quarter of 2023 was primarily driven by $1.1 billion of impairments, which included $793 million of oil and gas property impairments in the North Sea, a $315 million impairment of assets held for sale in the Permian Basin, and $3 million inventory impairments in the North Sea. These impacts to net loss were partially offset by lower income tax expense compared to the same prior-year period.</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nine months of 2024, the Company reported net income attributable to common stock of $450 million, or $1.29 per diluted share, compared to net income of $1.1 billion, or $3.50 per diluted share, in the first nine months of 2023. The decrease in net income in the first nine months of 2024 compared to the first nine months of 2023 was primarily driven by $1.1 billion of impairments recorded during the third quarter of 2024 and the related tax impacts. Net income was further impacted by higher depreciation expense, transaction and reorganization costs, and lease operating expenses, primarily a result of the Callon acquisition. These impacts to net income were partially offset by higher revenues as a result of increased drilling activity in the Permian Basin, production from the acquired Callon properties, gain from divestitures of non-core assets, and lower income tax expense compared to the same prior-year period.</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generated $2.6 billion of cash from operating activities during the first nine months of 2024, 23 percent higher than the first nine months of 2023. APA’s higher operating cash flows for the first nine months of 2024 were primarily driven by higher revenues as a result of increased drilling activity in the Permian Basin, production from the acquired Callon properties, and timing of working capital items. The Company repurchased 4.6 million shares of its common stock for $146 million and paid $260 million in dividends to APA common stockholders during the first nine months of 2024.</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Key operational highlights include:</w:t>
      </w:r>
    </w:p>
    <w:p>
      <w:pPr>
        <w:pStyle w:val="TextBody"/>
        <w:bidi w:val="0"/>
        <w:spacing w:lineRule="auto" w:line="288" w:before="20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United States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Daily boe production from the Company’s U.S. assets accounted for 64 percent of its total production during the third quarter of 2024 and increased 33 percent from the third quarter of 2023. Daily oil production from the Company’s U.S. assets increased 71 percent from the third quarter of 2023. During the third quarter of 2024, the Company averaged nine drilling rigs in the Permian Basin, including five rigs in the Southern Midland Basin and four rigs in the Delaware Basin. The Company brought online 48 operated wells during the quarter, of which 21 wells were associated with the Callon assets. The Company’s core Permian Basin development program continues to represent key growth areas for the U.S. assets. The Company expects to average 8 drilling rigs in the Permian Basin for the remainder of 2024 and into 2025.</w:t>
      </w:r>
    </w:p>
    <w:p>
      <w:pPr>
        <w:pStyle w:val="TextBody"/>
        <w:bidi w:val="0"/>
        <w:spacing w:lineRule="auto" w:line="288" w:before="20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International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Egypt, the Company continued its drilling and workover activity with a focus on oil production. The Company averaged 12 drilling rigs and drilled 15 new productive wells during the third quarter of 2024. During the same period, the Company averaged 20 workover rigs as it continues to align its drilling and workover activity with a goal of driving improved capital efficiency. Third quarter 2024 gross production from the Company’s Egypt assets decreased 5 percent from the third quarter of 2023, and net production increased 2 percent.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Subsequent to September 30, 2024, but prior to the date of this filing, the Company entered into a new pricing agreement for incremental gas volumes produced in Egypt, making gas exploration and development more economically competitive with oil development.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Company suspended all new drilling activity in the North Sea during the second quarter of 2023. During the third quarter of 2024, the Company continued its economic assessment of its North Sea assets in light of several new regulatory guidelines and obligations surrounding significant tax levies and modernization of aging infrastructure. The Company determined the expected returns do not economically support making investments required under the combined impact of the regulations, and it will cease production at its facilities in the North Sea prior to 2030. The Company’s investment program in the North Sea is now directed toward asset safety and integrity.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 October 2024, the Company announced that its subsidiary reached a positive final investment decision for the first oil development, named GranMorgu, in Block 58 offshore Suriname. This development will include production from the Krabdagu and Sapakara oil discoveries. These fields, located in water depths between 100 and 1,000 meters, will be produced through a system of subsea wells connected to a floating production, storage and offloading (FPSO) unit located 150 km off the Suriname coast, with an oil production capacity of 220,000 barrels per day. The GranMorgu FPSO unit is designed to accommodate future tie-back opportunities that would extend its 4-year production plateau and will feature technology that minimizes greenhouse gas emissions. Total investment is estimated at $10.5 billion, with APA’s share of the investment subject to the existing agreement with TotalEnergies to carry a portion of Apache’s appraisal and development capital. First oil is anticipated in 2028.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Oil, Natural Gas, and Natural Gas Liquids Production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production revenues and respective contribution to total revenues by country were as follows: </w:t>
      </w:r>
    </w:p>
    <w:tbl>
      <w:tblPr>
        <w:tblW w:w="11120"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6"/>
        <w:gridCol w:w="556"/>
        <w:gridCol w:w="109"/>
        <w:gridCol w:w="109"/>
        <w:gridCol w:w="109"/>
        <w:gridCol w:w="109"/>
        <w:gridCol w:w="241"/>
        <w:gridCol w:w="241"/>
        <w:gridCol w:w="569"/>
        <w:gridCol w:w="109"/>
        <w:gridCol w:w="109"/>
        <w:gridCol w:w="109"/>
        <w:gridCol w:w="196"/>
        <w:gridCol w:w="556"/>
        <w:gridCol w:w="109"/>
        <w:gridCol w:w="109"/>
        <w:gridCol w:w="109"/>
        <w:gridCol w:w="109"/>
        <w:gridCol w:w="241"/>
        <w:gridCol w:w="241"/>
        <w:gridCol w:w="569"/>
        <w:gridCol w:w="109"/>
        <w:gridCol w:w="109"/>
        <w:gridCol w:w="109"/>
        <w:gridCol w:w="196"/>
        <w:gridCol w:w="556"/>
        <w:gridCol w:w="109"/>
        <w:gridCol w:w="109"/>
        <w:gridCol w:w="109"/>
        <w:gridCol w:w="109"/>
        <w:gridCol w:w="241"/>
        <w:gridCol w:w="241"/>
        <w:gridCol w:w="569"/>
        <w:gridCol w:w="109"/>
        <w:gridCol w:w="109"/>
        <w:gridCol w:w="109"/>
        <w:gridCol w:w="196"/>
        <w:gridCol w:w="556"/>
        <w:gridCol w:w="109"/>
        <w:gridCol w:w="109"/>
        <w:gridCol w:w="109"/>
        <w:gridCol w:w="109"/>
        <w:gridCol w:w="230"/>
        <w:gridCol w:w="230"/>
        <w:gridCol w:w="63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Nine Months Ended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Contribution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millions)</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Egypt</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Egypt</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NGL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Egypt</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Includes revenues attributable to a noncontrolling interest in Egypt.</w:t>
      </w:r>
    </w:p>
    <w:p>
      <w:pPr>
        <w:pStyle w:val="TextBody"/>
        <w:bidi w:val="0"/>
        <w:spacing w:before="60" w:after="283"/>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production volumes by country were as follows:</w:t>
      </w:r>
    </w:p>
    <w:tbl>
      <w:tblPr>
        <w:tblW w:w="9911" w:type="dxa"/>
        <w:jc w:val="left"/>
        <w:tblInd w:w="0" w:type="dxa"/>
        <w:tblLayout w:type="fixed"/>
        <w:tblCellMar>
          <w:top w:w="28" w:type="dxa"/>
          <w:left w:w="28" w:type="dxa"/>
          <w:bottom w:w="28" w:type="dxa"/>
          <w:right w:w="28" w:type="dxa"/>
        </w:tblCellMar>
      </w:tblPr>
      <w:tblGrid>
        <w:gridCol w:w="792"/>
        <w:gridCol w:w="697"/>
        <w:gridCol w:w="701"/>
        <w:gridCol w:w="109"/>
        <w:gridCol w:w="109"/>
        <w:gridCol w:w="109"/>
        <w:gridCol w:w="368"/>
        <w:gridCol w:w="368"/>
        <w:gridCol w:w="156"/>
        <w:gridCol w:w="125"/>
        <w:gridCol w:w="125"/>
        <w:gridCol w:w="125"/>
        <w:gridCol w:w="299"/>
        <w:gridCol w:w="299"/>
        <w:gridCol w:w="301"/>
        <w:gridCol w:w="125"/>
        <w:gridCol w:w="125"/>
        <w:gridCol w:w="125"/>
        <w:gridCol w:w="368"/>
        <w:gridCol w:w="368"/>
        <w:gridCol w:w="156"/>
        <w:gridCol w:w="109"/>
        <w:gridCol w:w="109"/>
        <w:gridCol w:w="109"/>
        <w:gridCol w:w="368"/>
        <w:gridCol w:w="368"/>
        <w:gridCol w:w="156"/>
        <w:gridCol w:w="149"/>
        <w:gridCol w:w="149"/>
        <w:gridCol w:w="149"/>
        <w:gridCol w:w="299"/>
        <w:gridCol w:w="299"/>
        <w:gridCol w:w="301"/>
        <w:gridCol w:w="149"/>
        <w:gridCol w:w="149"/>
        <w:gridCol w:w="149"/>
        <w:gridCol w:w="368"/>
        <w:gridCol w:w="368"/>
        <w:gridCol w:w="213"/>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4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Volume (b/d)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77,198 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Egypt</w:t>
            </w:r>
            <w:r>
              <w:rPr>
                <w:rFonts w:ascii="Times New Roman;sans-serif" w:hAnsi="Times New Roman;sans-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88,038 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36,070 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256,306 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207,785 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236,751 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201,306 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 Volume (Mcf/d)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467,615 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454,643 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473,997 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448,838 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Egypt</w:t>
            </w:r>
            <w:r>
              <w:rPr>
                <w:rFonts w:ascii="Times New Roman;sans-serif" w:hAnsi="Times New Roman;sans-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300,418 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331,158 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47,665 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786,944 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820,137 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802,992 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827,661 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NGL Volume (b/d)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61,418 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80,017 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67,777 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72,854 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62,627 </w:t>
            </w:r>
          </w:p>
        </w:tc>
        <w:tc>
          <w:tcPr>
            <w:tcW w:w="2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BOE per day</w:t>
            </w: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272,827 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213,423 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Egypt</w:t>
            </w:r>
            <w:r>
              <w:rPr>
                <w:rFonts w:ascii="Times New Roman;sans-serif" w:hAnsi="Times New Roman;sans-serif"/>
                <w:b w:val="false"/>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143,231 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North Sea</w:t>
            </w: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45,222 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467,480 </w:t>
            </w:r>
          </w:p>
        </w:tc>
        <w:tc>
          <w:tcPr>
            <w:tcW w:w="1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412,252 </w:t>
            </w:r>
          </w:p>
        </w:tc>
        <w:tc>
          <w:tcPr>
            <w:tcW w:w="1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443,437 </w:t>
            </w:r>
          </w:p>
        </w:tc>
        <w:tc>
          <w:tcPr>
            <w:tcW w:w="1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401,876 </w:t>
            </w:r>
          </w:p>
        </w:tc>
        <w:tc>
          <w:tcPr>
            <w:tcW w:w="2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Gross oil, natural gas, and NGL production in Egypt were as follows:</w:t>
      </w:r>
    </w:p>
    <w:tbl>
      <w:tblPr>
        <w:tblW w:w="9598" w:type="dxa"/>
        <w:jc w:val="left"/>
        <w:tblInd w:w="0" w:type="dxa"/>
        <w:tblLayout w:type="fixed"/>
        <w:tblCellMar>
          <w:top w:w="28" w:type="dxa"/>
          <w:left w:w="28" w:type="dxa"/>
          <w:bottom w:w="28" w:type="dxa"/>
          <w:right w:w="28" w:type="dxa"/>
        </w:tblCellMar>
      </w:tblPr>
      <w:tblGrid>
        <w:gridCol w:w="550"/>
        <w:gridCol w:w="482"/>
        <w:gridCol w:w="482"/>
        <w:gridCol w:w="109"/>
        <w:gridCol w:w="109"/>
        <w:gridCol w:w="109"/>
        <w:gridCol w:w="393"/>
        <w:gridCol w:w="343"/>
        <w:gridCol w:w="191"/>
        <w:gridCol w:w="191"/>
        <w:gridCol w:w="191"/>
        <w:gridCol w:w="191"/>
        <w:gridCol w:w="191"/>
        <w:gridCol w:w="191"/>
        <w:gridCol w:w="191"/>
        <w:gridCol w:w="191"/>
        <w:gridCol w:w="191"/>
        <w:gridCol w:w="191"/>
        <w:gridCol w:w="393"/>
        <w:gridCol w:w="343"/>
        <w:gridCol w:w="191"/>
        <w:gridCol w:w="109"/>
        <w:gridCol w:w="109"/>
        <w:gridCol w:w="109"/>
        <w:gridCol w:w="430"/>
        <w:gridCol w:w="306"/>
        <w:gridCol w:w="209"/>
        <w:gridCol w:w="209"/>
        <w:gridCol w:w="209"/>
        <w:gridCol w:w="209"/>
        <w:gridCol w:w="209"/>
        <w:gridCol w:w="209"/>
        <w:gridCol w:w="209"/>
        <w:gridCol w:w="209"/>
        <w:gridCol w:w="209"/>
        <w:gridCol w:w="209"/>
        <w:gridCol w:w="430"/>
        <w:gridCol w:w="306"/>
        <w:gridCol w:w="295"/>
      </w:tblGrid>
      <w:tr>
        <w:trPr/>
        <w:tc>
          <w:tcPr>
            <w:tcW w:w="5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136,670 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144,528 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138,039 </w:t>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141,995 </w:t>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(Mcf/d)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447,173 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472,744 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445,397 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511,430 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Includes net production volumes per day attributable to a noncontrolling interest in Egypt of:</w:t>
      </w:r>
    </w:p>
    <w:tbl>
      <w:tblPr>
        <w:tblW w:w="9508" w:type="dxa"/>
        <w:jc w:val="left"/>
        <w:tblInd w:w="0" w:type="dxa"/>
        <w:tblLayout w:type="fixed"/>
        <w:tblCellMar>
          <w:top w:w="28" w:type="dxa"/>
          <w:left w:w="28" w:type="dxa"/>
          <w:bottom w:w="28" w:type="dxa"/>
          <w:right w:w="28" w:type="dxa"/>
        </w:tblCellMar>
      </w:tblPr>
      <w:tblGrid>
        <w:gridCol w:w="550"/>
        <w:gridCol w:w="482"/>
        <w:gridCol w:w="482"/>
        <w:gridCol w:w="109"/>
        <w:gridCol w:w="109"/>
        <w:gridCol w:w="109"/>
        <w:gridCol w:w="393"/>
        <w:gridCol w:w="343"/>
        <w:gridCol w:w="191"/>
        <w:gridCol w:w="191"/>
        <w:gridCol w:w="191"/>
        <w:gridCol w:w="191"/>
        <w:gridCol w:w="191"/>
        <w:gridCol w:w="191"/>
        <w:gridCol w:w="191"/>
        <w:gridCol w:w="191"/>
        <w:gridCol w:w="191"/>
        <w:gridCol w:w="191"/>
        <w:gridCol w:w="393"/>
        <w:gridCol w:w="343"/>
        <w:gridCol w:w="191"/>
        <w:gridCol w:w="109"/>
        <w:gridCol w:w="109"/>
        <w:gridCol w:w="109"/>
        <w:gridCol w:w="378"/>
        <w:gridCol w:w="268"/>
        <w:gridCol w:w="209"/>
        <w:gridCol w:w="209"/>
        <w:gridCol w:w="209"/>
        <w:gridCol w:w="209"/>
        <w:gridCol w:w="209"/>
        <w:gridCol w:w="209"/>
        <w:gridCol w:w="209"/>
        <w:gridCol w:w="209"/>
        <w:gridCol w:w="209"/>
        <w:gridCol w:w="209"/>
        <w:gridCol w:w="430"/>
        <w:gridCol w:w="306"/>
        <w:gridCol w:w="295"/>
      </w:tblGrid>
      <w:tr>
        <w:trPr/>
        <w:tc>
          <w:tcPr>
            <w:tcW w:w="5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30,579 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29,514 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29,596 </w:t>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29,369 </w:t>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(Mcf/d)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100,210 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100,122 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96,054 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110,476 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The table shows production on a boe basis in which natural gas is converted to an equivalent barrel of oil based on a 6:1 energy equivalent ratio. This ratio is not reflective of the price ratio between the two products.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    Average sales volumes from the North Sea for the third quarters of 2024 and 2023 were 19,374 boe/d and 55,283 boe/d, respectively, and 30,607 boe/d and 47,370 boe/d for the first nine months of 2024 and 2023, respectively. Sales volumes may vary from production volumes as a result of the timing of liftings.</w:t>
      </w:r>
    </w:p>
    <w:p>
      <w:pPr>
        <w:pStyle w:val="TextBody"/>
        <w:bidi w:val="0"/>
        <w:spacing w:before="60" w:after="283"/>
        <w:ind w:left="0" w:right="0" w:hanging="270"/>
        <w:jc w:val="both"/>
        <w:rPr/>
      </w:pPr>
      <w:r>
        <w:rPr/>
      </w:r>
    </w:p>
    <w:p>
      <w:pPr>
        <w:pStyle w:val="TextBody"/>
        <w:bidi w:val="0"/>
        <w:spacing w:before="200" w:after="283"/>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Pricing</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average selling prices by country were as follows:</w:t>
      </w:r>
    </w:p>
    <w:tbl>
      <w:tblPr>
        <w:tblW w:w="10038" w:type="dxa"/>
        <w:jc w:val="left"/>
        <w:tblInd w:w="0" w:type="dxa"/>
        <w:tblLayout w:type="fixed"/>
        <w:tblCellMar>
          <w:top w:w="28" w:type="dxa"/>
          <w:left w:w="28" w:type="dxa"/>
          <w:bottom w:w="28" w:type="dxa"/>
          <w:right w:w="28" w:type="dxa"/>
        </w:tblCellMar>
      </w:tblPr>
      <w:tblGrid>
        <w:gridCol w:w="1010"/>
        <w:gridCol w:w="885"/>
        <w:gridCol w:w="894"/>
        <w:gridCol w:w="109"/>
        <w:gridCol w:w="109"/>
        <w:gridCol w:w="109"/>
        <w:gridCol w:w="196"/>
        <w:gridCol w:w="556"/>
        <w:gridCol w:w="109"/>
        <w:gridCol w:w="109"/>
        <w:gridCol w:w="109"/>
        <w:gridCol w:w="109"/>
        <w:gridCol w:w="299"/>
        <w:gridCol w:w="299"/>
        <w:gridCol w:w="301"/>
        <w:gridCol w:w="109"/>
        <w:gridCol w:w="109"/>
        <w:gridCol w:w="109"/>
        <w:gridCol w:w="196"/>
        <w:gridCol w:w="556"/>
        <w:gridCol w:w="109"/>
        <w:gridCol w:w="109"/>
        <w:gridCol w:w="109"/>
        <w:gridCol w:w="109"/>
        <w:gridCol w:w="196"/>
        <w:gridCol w:w="556"/>
        <w:gridCol w:w="109"/>
        <w:gridCol w:w="109"/>
        <w:gridCol w:w="109"/>
        <w:gridCol w:w="109"/>
        <w:gridCol w:w="299"/>
        <w:gridCol w:w="299"/>
        <w:gridCol w:w="301"/>
        <w:gridCol w:w="109"/>
        <w:gridCol w:w="109"/>
        <w:gridCol w:w="109"/>
        <w:gridCol w:w="196"/>
        <w:gridCol w:w="55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Oil Price – Per barrel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Egypt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Natural Gas Price – Per Mcf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Egypt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NGL Price – Per barrel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Third-Quarter 2024 compared to Third-Quarter 2023</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 xml:space="preserve">Crude Oil </w:t>
      </w:r>
      <w:r>
        <w:rPr>
          <w:rFonts w:ascii="Times New Roman;sans-serif" w:hAnsi="Times New Roman;sans-serif"/>
          <w:b w:val="false"/>
          <w:color w:val="000000"/>
          <w:sz w:val="20"/>
        </w:rPr>
        <w:t>Crude oil revenues for the third quarter of 2024 totaled $1.8 billion, a $92 million increase from the comparative 2023 quarter. A 23 percent higher average daily production increased third-quarter 2024 oil revenues by $251 million compared to the third quarter of 2023, while a 9 percent decrease in average realized prices decreased revenues by $159 million. Crude oil revenues accounted for 87 percent of total oil and gas production revenues and 55 percent of worldwide production in the third quarter of 2024. Crude oil prices realized in the third quarter of 2024 averaged $78.06 per barrel, compared with $86.15 per barrel in the comparative prior-year quarter.</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worldwide oil production increased 48.5 Mb/d to 256.3 Mb/d during the third quarter of 2024 from the comparative prior-year period, primarily a result of increased drilling activity in the Permian Basin coupled with the Callon acquisition. These increases were offset by natural production decline, the sale of non-core assets in the U.S., and operational downtime due to maintenance activities in the North Sea.</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Natural Gas</w:t>
      </w:r>
      <w:r>
        <w:rPr>
          <w:color w:val="000000"/>
        </w:rPr>
        <w:t xml:space="preserve"> </w:t>
      </w:r>
      <w:r>
        <w:rPr>
          <w:rFonts w:ascii="Times New Roman;sans-serif" w:hAnsi="Times New Roman;sans-serif"/>
          <w:b w:val="false"/>
          <w:color w:val="000000"/>
          <w:sz w:val="20"/>
        </w:rPr>
        <w:t xml:space="preserve">Natural gas revenues for the third quarter of 2024 totaled $103 million, a $133 million decrease from the comparative 2023 quarter. A 54 percent decrease in average realized prices decreased third-quarter 2024 natural gas revenues by $128 million compared to the third quarter of 2023, while 4 percent lower average daily production decreased revenues by $5 million. Natural gas revenues accounted for 5 percent of total oil and gas production revenues and 28 percent of worldwide production during the third quarter of 2024.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worldwide natural gas production decreased 33.2 MMcf/d to 786.9 MMcf/d during the third quarter of 2024 from the comparative prior-year period, primarily a result of operational downtime due to maintenance activities in the North Sea, curtailment of volumes at Alpine High in response to extreme Waha basis differentials, natural production decline, and the sale of non-core assets in the U.S. These decreases were offset by the Callon acquisition coupled with increased drilling activity and recompletions in the Permian Basin.</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 xml:space="preserve">NGL </w:t>
      </w:r>
      <w:r>
        <w:rPr>
          <w:rFonts w:ascii="Times New Roman;sans-serif" w:hAnsi="Times New Roman;sans-serif"/>
          <w:b w:val="false"/>
          <w:color w:val="000000"/>
          <w:sz w:val="20"/>
        </w:rPr>
        <w:t xml:space="preserve">NGL revenues for the third quarter of 2024 totaled $158 million, a $20 million increase from the comparative 2023 quarter. An 18 percent higher average daily production increased third-quarter 2024 NGL revenues by $26 million compared to the third quarter of 2023, while a 4 percent decrease in average realized prices decreased revenues by $6 million. NGL revenues accounted for 8 percent of total oil and gas production revenues and 17 percent of worldwide production during the third quarter of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worldwide NGL production increased 12.2 Mb/d to 80 Mb/d during the third quarter of 2024 from the comparative prior-year period, primarily a result of the Callon acquisition coupled with increased drilling activity in the Permian Basin. These increases were offset by natural production decline, curtailment of volumes at Alpine High in response to extreme Waha basis differentials, and the sale of non-core assets in the U.S. These increases were further offset by operational downtime due to maintenance activities in the North Sea.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Year-to-Date 2024 compared to Year-to-Date 2023 </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Crude Oil</w:t>
      </w:r>
      <w:r>
        <w:rPr>
          <w:color w:val="000000"/>
        </w:rPr>
        <w:t xml:space="preserve"> </w:t>
      </w:r>
      <w:r>
        <w:rPr>
          <w:rFonts w:ascii="Times New Roman;sans-serif" w:hAnsi="Times New Roman;sans-serif"/>
          <w:b w:val="false"/>
          <w:color w:val="000000"/>
          <w:sz w:val="20"/>
        </w:rPr>
        <w:t xml:space="preserve">Crude oil revenues for the first nine months of 2024 totaled $5.1 billion, a $669 million increase from the comparative 2023 period. An 18 percent higher average daily production increased oil revenues for the 2024 period by $680 million compared to the prior-year period, while a slight decrease in average realized prices lowered oil revenues by $11 million compared to the prior-year period. Crude oil revenues accounted for 85 percent of total oil and gas production revenues and 54 percent of worldwide production for the first nine months of 2024. Crude oil prices realized during the first nine months of 2024 averaged $80.31 per barrel, compared to $80.50 per barrel in the comparative prior-year period.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worldwide oil production increased 35.4 Mb/d to 236.8 Mb/d in the first nine months of 2024 compared to the prior-year period, primarily a result of increased drilling activity in the Permian Basin coupled with the Callon acquisition. These increases were offset by natural production decline across all assets, the sale of non-core assets in the U.S., and operational downtime due to maintenance activities in the North Sea.</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Natural Gas</w:t>
      </w:r>
      <w:r>
        <w:rPr>
          <w:color w:val="000000"/>
        </w:rPr>
        <w:t xml:space="preserve"> </w:t>
      </w:r>
      <w:r>
        <w:rPr>
          <w:rFonts w:ascii="Times New Roman;sans-serif" w:hAnsi="Times New Roman;sans-serif"/>
          <w:b w:val="false"/>
          <w:color w:val="000000"/>
          <w:sz w:val="20"/>
        </w:rPr>
        <w:t xml:space="preserve">Natural gas revenues for the first nine months of 2024 totaled $414 million, a $244 million decrease from the comparative 2023 period. A 35 percent decrease in average realized prices decreased natural gas revenues for the 2024 period by $232 million compared to the prior-year period, while 3 percent lower average daily production decreased revenues by $12 million compared to the prior-year period. Natural gas revenues accounted for 7 percent of total oil and gas production revenues and 30 percent of worldwide production for the first nine months of 2024.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worldwide natural gas production decreased 24.7 MMcf/d to 803 MMcf/d in the first nine months of 2024 compared to the prior-year period, primarily a result of operational downtime due to maintenance activities in the North Sea, reduced gas-focused activity in Egypt, natural production decline, curtailment of volumes at Alpine High in response to extreme Waha basis differentials, and the sale of non-core assets in the U.S. These decreases were partially offset by increased drilling activity in the Permian Basin coupled with the Callon acquisition.</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NGL</w:t>
      </w:r>
      <w:r>
        <w:rPr>
          <w:color w:val="000000"/>
        </w:rPr>
        <w:t xml:space="preserve"> </w:t>
      </w:r>
      <w:r>
        <w:rPr>
          <w:rFonts w:ascii="Times New Roman;sans-serif" w:hAnsi="Times New Roman;sans-serif"/>
          <w:b w:val="false"/>
          <w:color w:val="000000"/>
          <w:sz w:val="20"/>
        </w:rPr>
        <w:t xml:space="preserve">NGL revenues for the first nine months of 2024 totaled $457 million, a $82 million increase from the comparative 2023 period. A 16 percent higher average daily production increased NGL revenues for the 2024 period by $66 million compared to the prior-year period, while a 4 percent increase in average realized prices increased revenues by $16 million. NGL revenues accounted for 8 percent of total oil and gas production revenues and 16 percent of worldwide production for the first nine months of 2024.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worldwide NGL production increased 10.2 Mb/d to 72.9 Mb/d in the first nine months of 2024 compared to the prior-year period, primarily a result of increased drilling activity in the Permian Basin coupled with the Callon acquisition, offset by natural production decline, curtailment of volumes at Alpine High in response to extreme Waha basis differentials, and the sale of non-core assets in the U.S. These increases were further offset by operational downtime due to maintenance activities in the North Sea.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Purchased Oil and Gas Sales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Purchased oil and gas sales represent volumes primarily attributable to U.S. domestic oil and gas purchases that were sold by the Company to fulfill oil and natural gas takeaway obligations and delivery commitments. Sales related to these purchased volumes totaled $473 million and $229 million during the third quarters of 2024 and 2023, respectively, and $1.0 billion and $612 million during the first nine months of 2024 and 2023, respectively. Purchased oil and gas sales were offset by associated purchase costs of $292 million and $211 million during the third quarters of 2024 and 2023, respectively, and $665 million and $558 million during the first nine months of 2024 and 2023, respectively. Gross purchased oil and gas sales values were higher in the third quarter and the first nine months of 2024 as compared to the third quarter and the first nine months of 2023, primarily driven by activity associated with the Callon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operating expenses were as follows and include costs attributable to a noncontrolling interest in Egypt:</w:t>
      </w:r>
    </w:p>
    <w:tbl>
      <w:tblPr>
        <w:tblW w:w="8444" w:type="dxa"/>
        <w:jc w:val="left"/>
        <w:tblInd w:w="0" w:type="dxa"/>
        <w:tblLayout w:type="fixed"/>
        <w:tblCellMar>
          <w:top w:w="28" w:type="dxa"/>
          <w:left w:w="28" w:type="dxa"/>
          <w:bottom w:w="28" w:type="dxa"/>
          <w:right w:w="28" w:type="dxa"/>
        </w:tblCellMar>
      </w:tblPr>
      <w:tblGrid>
        <w:gridCol w:w="1246"/>
        <w:gridCol w:w="1089"/>
        <w:gridCol w:w="1099"/>
        <w:gridCol w:w="109"/>
        <w:gridCol w:w="109"/>
        <w:gridCol w:w="109"/>
        <w:gridCol w:w="196"/>
        <w:gridCol w:w="556"/>
        <w:gridCol w:w="109"/>
        <w:gridCol w:w="109"/>
        <w:gridCol w:w="109"/>
        <w:gridCol w:w="109"/>
        <w:gridCol w:w="196"/>
        <w:gridCol w:w="556"/>
        <w:gridCol w:w="109"/>
        <w:gridCol w:w="109"/>
        <w:gridCol w:w="109"/>
        <w:gridCol w:w="109"/>
        <w:gridCol w:w="216"/>
        <w:gridCol w:w="613"/>
        <w:gridCol w:w="120"/>
        <w:gridCol w:w="120"/>
        <w:gridCol w:w="120"/>
        <w:gridCol w:w="120"/>
        <w:gridCol w:w="216"/>
        <w:gridCol w:w="613"/>
        <w:gridCol w:w="169"/>
      </w:tblGrid>
      <w:tr>
        <w:trPr/>
        <w:tc>
          <w:tcPr>
            <w:tcW w:w="124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Gathering, processing, and transmission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Purchased oil and gas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reorganization, and separation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Gathering, processing, and transmission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6,200 </w:t>
            </w:r>
          </w:p>
        </w:tc>
        <w:tc>
          <w:tcPr>
            <w:tcW w:w="1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3,957 </w:t>
            </w:r>
          </w:p>
        </w:tc>
        <w:tc>
          <w:tcPr>
            <w:tcW w:w="1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Operating Expenses (LOE)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LOE increased $24 million and $140 million compared to the third quarter and the first nine months of 2023, respectively. On a per-unit basis, LOE decreased 4 percent and increased 3 percent in the third quarter and the first nine months of 2024, respectively, when compared to the third quarter and the first nine months of 2023. The absolute dollar increase in the third quarter and the first nine months of 2024 compared to same prior year periods was driven by higher operating and labor costs coupled with higher workover activity, primarily from the Callon acquisition.</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Gathering, Processing, and Transmission (GPT)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GPT expenses were as follows:</w:t>
      </w:r>
    </w:p>
    <w:tbl>
      <w:tblPr>
        <w:tblW w:w="8225" w:type="dxa"/>
        <w:jc w:val="left"/>
        <w:tblInd w:w="0" w:type="dxa"/>
        <w:tblLayout w:type="fixed"/>
        <w:tblCellMar>
          <w:top w:w="28" w:type="dxa"/>
          <w:left w:w="28" w:type="dxa"/>
          <w:bottom w:w="28" w:type="dxa"/>
          <w:right w:w="28" w:type="dxa"/>
        </w:tblCellMar>
      </w:tblPr>
      <w:tblGrid>
        <w:gridCol w:w="1228"/>
        <w:gridCol w:w="1079"/>
        <w:gridCol w:w="1082"/>
        <w:gridCol w:w="109"/>
        <w:gridCol w:w="109"/>
        <w:gridCol w:w="109"/>
        <w:gridCol w:w="217"/>
        <w:gridCol w:w="467"/>
        <w:gridCol w:w="121"/>
        <w:gridCol w:w="121"/>
        <w:gridCol w:w="121"/>
        <w:gridCol w:w="121"/>
        <w:gridCol w:w="217"/>
        <w:gridCol w:w="367"/>
        <w:gridCol w:w="121"/>
        <w:gridCol w:w="109"/>
        <w:gridCol w:w="109"/>
        <w:gridCol w:w="109"/>
        <w:gridCol w:w="248"/>
        <w:gridCol w:w="533"/>
        <w:gridCol w:w="138"/>
        <w:gridCol w:w="138"/>
        <w:gridCol w:w="138"/>
        <w:gridCol w:w="138"/>
        <w:gridCol w:w="248"/>
        <w:gridCol w:w="533"/>
        <w:gridCol w:w="195"/>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Third-party processing and transmission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Midstream service costs – Kinetik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Gathering, processing, and transmission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GPT costs increased $34 million and $83 million in the third quarter and the first nine months of 2024, respectively, when compared to the third quarter and the first nine months of 2023, primarily driven by an increase in natural gas and NGL production volumes in the U.S. when compared to the prior-year periods.</w:t>
      </w:r>
    </w:p>
    <w:p>
      <w:pPr>
        <w:pStyle w:val="TextBody"/>
        <w:bidi w:val="0"/>
        <w:spacing w:lineRule="auto" w:line="288" w:before="200" w:after="283"/>
        <w:ind w:left="0" w:right="0" w:firstLine="270"/>
        <w:jc w:val="both"/>
        <w:rPr/>
      </w:pPr>
      <w:r>
        <w:rPr>
          <w:rFonts w:ascii="Times New Roman;sans-serif" w:hAnsi="Times New Roman;sans-serif"/>
          <w:b w:val="false"/>
          <w:i/>
          <w:color w:val="000000"/>
          <w:sz w:val="20"/>
        </w:rPr>
        <w:t>Purchased Oil and Gas Costs</w:t>
      </w:r>
      <w:r>
        <w:rPr>
          <w:color w:val="000000"/>
        </w:rPr>
        <w:t xml:space="preserve">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Purchased oil and gas costs increased $81 million and $107 million in the third quarter and the first nine months of 2024, respectively, when compared to the third quarter and the first nine months of 2023. The increase in the third quarter and the first nine months of 2024 compared to same prior-year periods was primarily driven by oil purchases from activity associated with the Callon acquisition. With widening margins under third-party gas agreements, purchased oil and gas costs were more than offset by associated sales to fulfill oil and natural gas takeaway obligations and delivery commitments totaling $473 million and $1.0 billion in the third quarter and the first nine months of 2024, respectively, as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Taxes Other Than Income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Taxes other than income increased $9 million and $42 million from the third quarter and the first nine months of 2023, respectively, primarily from higher severance taxes driven by increased production volumes in the U.S. compared to the same prior-year periods.</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Exploration Expenses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exploration expenses were as follows:</w:t>
      </w:r>
    </w:p>
    <w:tbl>
      <w:tblPr>
        <w:tblW w:w="7516" w:type="dxa"/>
        <w:jc w:val="left"/>
        <w:tblInd w:w="0" w:type="dxa"/>
        <w:tblLayout w:type="fixed"/>
        <w:tblCellMar>
          <w:top w:w="28" w:type="dxa"/>
          <w:left w:w="28" w:type="dxa"/>
          <w:bottom w:w="28" w:type="dxa"/>
          <w:right w:w="28" w:type="dxa"/>
        </w:tblCellMar>
      </w:tblPr>
      <w:tblGrid>
        <w:gridCol w:w="972"/>
        <w:gridCol w:w="853"/>
        <w:gridCol w:w="859"/>
        <w:gridCol w:w="109"/>
        <w:gridCol w:w="109"/>
        <w:gridCol w:w="109"/>
        <w:gridCol w:w="229"/>
        <w:gridCol w:w="388"/>
        <w:gridCol w:w="127"/>
        <w:gridCol w:w="127"/>
        <w:gridCol w:w="127"/>
        <w:gridCol w:w="127"/>
        <w:gridCol w:w="229"/>
        <w:gridCol w:w="388"/>
        <w:gridCol w:w="127"/>
        <w:gridCol w:w="109"/>
        <w:gridCol w:w="109"/>
        <w:gridCol w:w="109"/>
        <w:gridCol w:w="248"/>
        <w:gridCol w:w="533"/>
        <w:gridCol w:w="138"/>
        <w:gridCol w:w="138"/>
        <w:gridCol w:w="138"/>
        <w:gridCol w:w="138"/>
        <w:gridCol w:w="248"/>
        <w:gridCol w:w="533"/>
        <w:gridCol w:w="195"/>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Unproved leasehold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Dry hole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Geological and geophysical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Exploration overhead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9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Exploration expenses decreased $20 million and increased $104 million from the third quarter and the first nine months of 2023, respectively. The decrease in exploration expenses for the third quarter of 2024 compared to the third quarter of 2023 was primarily the result of higher dry hole expenses in the 2023 period coupled with lower unproved leasehold impairments and exploration overhead. The increase in exploration expenses for the first nine months of 2024 compared to the first nine months of 2023 was primarily the result of dry hole expense associated with the completion of an initial drilling campaign in Alaska where two wells were unable to reach target objectives in the allotted seasonal time window.</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(G&amp;A) Expenses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G&amp;A expenses decreased $47 million and $6 million from the third quarter and the first nine months of 2023, respectively. The decrease in G&amp;A expenses for the third quarter and first nine months of 2024 compared to the same prior-year periods was primarily driven by higher cash-based stock compensation expense in the 2023 period resulting from changes in the Company’s stock price, partially offset by higher overall labor costs across the Company and the Callon acquisition.</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Transaction, Reorganization, and Separation (TRS) Costs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TRS costs increased $9 million and $145 million from the third quarter and the first nine months of 2023, respectively. Higher TRS costs during the third quarter and the first nine months of 2024 were primarily a result of ongoing transaction costs related to the Callon acquisition coupled with separation costs in the North Sea. TRS costs incurred in the first nine months of 2024 comprised primarily $139 million associated with the Callon acquisition, including $71 million of separation costs and $68 million of transaction and integration costs. </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Depletion, and Amortization (DD&amp;A)</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Total DD&amp;A expenses increased $177 million and $496 million from the third quarter and the first nine months of 2023, respectively, primarily driven by DD&amp;A on the Company’s oil and gas properties. The Company’s DD&amp;A rate on its oil and gas properties increased $3.30 per boe and $3.33 per boe from the third quarter and the first nine months of 2023, respectively. The increase in DD&amp;A on a per boe basis was driven by negative gas price-related reserve revisions in prior periods and impacts resulting from the Callon acquisition in 2024. Higher absolute dollar amount of DD&amp;A was driven primarily by higher capital expenditures incurred in the U.S. and Egypt.</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Impairments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and the first nine months of 2024, the Company recorded $1.1 billion of impairments, which includes $793 million of oil and gas property impairments in the North Sea, $315 million impairment of assets held for sale in the Permian Basin, and $3 million of inventory impairments in the North Sea.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nine months of 2023, the Company recorded $46 million of impairments in connection with valuations of drilling and operations equipment inventory upon the Company’s decision to suspend drilling operations in the North Sea.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Costs, Net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Financing costs were as follows:</w:t>
      </w:r>
    </w:p>
    <w:tbl>
      <w:tblPr>
        <w:tblW w:w="7475" w:type="dxa"/>
        <w:jc w:val="left"/>
        <w:tblInd w:w="0" w:type="dxa"/>
        <w:tblLayout w:type="fixed"/>
        <w:tblCellMar>
          <w:top w:w="28" w:type="dxa"/>
          <w:left w:w="28" w:type="dxa"/>
          <w:bottom w:w="28" w:type="dxa"/>
          <w:right w:w="28" w:type="dxa"/>
        </w:tblCellMar>
      </w:tblPr>
      <w:tblGrid>
        <w:gridCol w:w="955"/>
        <w:gridCol w:w="840"/>
        <w:gridCol w:w="844"/>
        <w:gridCol w:w="109"/>
        <w:gridCol w:w="109"/>
        <w:gridCol w:w="109"/>
        <w:gridCol w:w="217"/>
        <w:gridCol w:w="467"/>
        <w:gridCol w:w="121"/>
        <w:gridCol w:w="121"/>
        <w:gridCol w:w="121"/>
        <w:gridCol w:w="121"/>
        <w:gridCol w:w="217"/>
        <w:gridCol w:w="367"/>
        <w:gridCol w:w="121"/>
        <w:gridCol w:w="109"/>
        <w:gridCol w:w="109"/>
        <w:gridCol w:w="109"/>
        <w:gridCol w:w="248"/>
        <w:gridCol w:w="533"/>
        <w:gridCol w:w="138"/>
        <w:gridCol w:w="138"/>
        <w:gridCol w:w="138"/>
        <w:gridCol w:w="138"/>
        <w:gridCol w:w="248"/>
        <w:gridCol w:w="533"/>
        <w:gridCol w:w="195"/>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9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Net financing costs increased $19 million and $41 million from the third quarter and the first nine months of 2023, respectively. The increase in costs during the third quarter and the first nine months of 2024 was primarily due to higher interest expense from higher average long-term debt balances compared to the third quarter and the first nine months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its annual effective income tax rate in recording its quarterly provision for income taxes in the various jurisdictions in which the Company operates. Non-cash impairments on the carrying value of the Company’s oil and gas properties, gains and losses on the sale of assets, statutory tax rate changes, and other significant or unusual items are recognized as discrete items in the quarter in which they occur.</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 for the three and nine months ended September 30, 2024 differed from the U.S. federal statutory income tax rate of 21 percent due to taxes on foreign operations. During the third quarter of 2023, the Company’s effective income tax rate differed from the U.S. federal statutory income tax rate of 21 percent due to taxes on foreign operations and a decrease in the amount of valuation allowance against its U.S. deferred tax assets. The Company’s effective income tax rate for the nine months ended September 30, 2023 differed from the U.S. federal statutory income tax rate of 21 percent due to taxes on foreign operations, a deferred tax expense related to the remeasurement of taxes in the U.K. as a result of the enactment of Finance Act 2023, and a decrease in the amount of valuation allowance against its U.S. deferred tax assets.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U.S. enacted the Inflation Reduction Act of 2022 (IRA). The IRA includes a new 15 percent corporate alternative minimum tax (CAMT) on applicable corporations with an average annual adjusted financial statement income that exceeds $1.0 billion for any three consecutive years preceding the tax year at issue. The CAMT is effective for tax years beginning after December 31, 2022. The Company became an applicable corporation subject to CAMT beginning on January 1, 2024. On September 12, 2024, the U.S. Department of Treasury and the Internal Revenue Service released proposed regulations relating to the application and implementation of CAMT. The Company is continuing to evaluate the proposed regulations and their effect on the Company’s consolidated financial statements.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Organisation for Economic Co-operation and Development issued Pillar Two Model Rules introducing a new global minimum tax of 15 percent on a country-by-country basis, with certain aspects effective in certain jurisdictions on January 1, 2024. Although the Company continues to monitor enacted legislation to implement these rules in countries where the Company could be impacted, APA does not expect that the Pillar Two framework will have a material impact on its consolidated financial statements.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its subsidiaries are subject to U.S. federal income tax as well as income or capital taxes in various states and foreign jurisdictions. The Company’s tax reserves are related to tax years that may be subject to examination by the relevant taxing authority.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Capital Resources and Liquidity</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Operating cash flows are the Company’s primary source of liquidity. The Company’s short-term and long-term operating cash flows are impacted by highly volatile commodity prices, as well as production costs and sales volumes. Significant changes in commodity prices impact the Company’s revenues, earnings, and cash flows. These changes potentially impact the Company’s liquidity if costs do not trend with sustained decreases in commodity prices. Historically, costs have trended with commodity prices, albeit on a lag. Sales volumes also impact cash flows; however, they have a less volatile impact in the short term.</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long-term operating cash flows are dependent on reserve replacement and the level of costs required for ongoing operations. Cash investments are required to fund activity necessary to offset the inherent declines in production and proved crude oil and natural gas reserves. Future success in maintaining and growing reserves and production is highly dependent on the success of the Company’s drilling program and its ability to add reserves economically. Changes in commodity prices also impact estimated quantities of proved reserves.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the Company recognized downward reserve revisions of approximately 26 percent of its year-end 2023 estimated proved reserves in the North Sea as a result of its economic assessment of its North Sea assets described in “Financial and Operational Highlights” above.</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Following the completion of the Callon acquisition, the Company revised its full-year 2024 estimated upstream capital investment to approximately $2.8 billion and remains committed to its capital return framework for equity holders to participate more directly and materially in cash returns through dividends and share repurchases</w:t>
      </w:r>
      <w:r>
        <w:rPr>
          <w:rFonts w:ascii="Times New Roman;sans-serif" w:hAnsi="Times New Roman;sans-serif"/>
          <w:b w:val="false"/>
          <w:color w:val="000000"/>
          <w:sz w:val="24"/>
        </w:rPr>
        <w: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its available liquidity and capital resource alternatives, combined with proactive measures to adjust its capital budget to reflect volatile commodity prices and anticipated operating cash flows, will be adequate to fund short-term and long-term operations, including the Company’s capital development program, repayment of debt maturities, payment of dividends, share buy-back activity, and amounts that may ultimately be paid in connection with commitments and contingencies.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also elect to utilize available cash on hand, committed borrowing capacity, access to both debt and equity capital markets, or proceeds from the sale of nonstrategic assets for all other liquidity and capital resource needs.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refer to Part I, Items 1 and 2—Business and Properties, and Item 1A—Risk Factors, in the Company’s Annual Report on Form 10-K for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Sources and Uses of Cash</w:t>
      </w:r>
    </w:p>
    <w:p>
      <w:pPr>
        <w:pStyle w:val="TextBody"/>
        <w:bidi w:val="0"/>
        <w:spacing w:lineRule="auto" w:line="288" w:before="2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sources and uses of the Company’s cash and cash equivalents for the periods presented:</w:t>
      </w:r>
    </w:p>
    <w:tbl>
      <w:tblPr>
        <w:tblW w:w="7464" w:type="dxa"/>
        <w:jc w:val="left"/>
        <w:tblInd w:w="0" w:type="dxa"/>
        <w:tblLayout w:type="fixed"/>
        <w:tblCellMar>
          <w:top w:w="28" w:type="dxa"/>
          <w:left w:w="28" w:type="dxa"/>
          <w:bottom w:w="28" w:type="dxa"/>
          <w:right w:w="28" w:type="dxa"/>
        </w:tblCellMar>
      </w:tblPr>
      <w:tblGrid>
        <w:gridCol w:w="1746"/>
        <w:gridCol w:w="1536"/>
        <w:gridCol w:w="1548"/>
        <w:gridCol w:w="109"/>
        <w:gridCol w:w="109"/>
        <w:gridCol w:w="109"/>
        <w:gridCol w:w="216"/>
        <w:gridCol w:w="613"/>
        <w:gridCol w:w="120"/>
        <w:gridCol w:w="120"/>
        <w:gridCol w:w="120"/>
        <w:gridCol w:w="120"/>
        <w:gridCol w:w="216"/>
        <w:gridCol w:w="613"/>
        <w:gridCol w:w="169"/>
      </w:tblGrid>
      <w:tr>
        <w:trPr/>
        <w:tc>
          <w:tcPr>
            <w:tcW w:w="174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Sources of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commercial paper and revolving credit facilities,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from term loan facility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asset divestitures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Kinetik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Sources of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5,446 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2,330 </w:t>
            </w:r>
          </w:p>
        </w:tc>
        <w:tc>
          <w:tcPr>
            <w:tcW w:w="16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Uses of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upstream oil and gas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and property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 on Callon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fixed-rate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to APA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activity,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Uses of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Sources of Cash and Cash Equivalents</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Net Cash Provided by Operating Activities</w:t>
      </w:r>
      <w:r>
        <w:rPr>
          <w:color w:val="000000"/>
        </w:rPr>
        <w:t xml:space="preserve"> </w:t>
      </w:r>
      <w:r>
        <w:rPr>
          <w:rFonts w:ascii="Times New Roman;sans-serif" w:hAnsi="Times New Roman;sans-serif"/>
          <w:b w:val="false"/>
          <w:color w:val="000000"/>
          <w:sz w:val="20"/>
        </w:rPr>
        <w:t>Operating cash flows are the Company’s primary source of capital and liquidity and are impacted, both in the short term and the long term, by volatile commodity prices. The factors that determine operating cash flows are largely the same as those that affect net earnings, with the exception of non-cash expenses such as DD&amp;A, exploratory dry hole expense, asset impairments, asset retirement obligation accretion, and deferred income tax expense.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during the first nine months of 2024 totaled $2.6 billion, $485 million higher from the first nine months of 2023, primarily due to higher revenues from increased oil and gas production and timing of working capital items.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a detailed discussion of commodity prices, production, and operating expenses, refer to “Results of Operations” in this Item 2. For additional detail on the changes in operating assets and liabilities and the non-cash expenses that do not impact net cash provided by operating activities, refer to the Statement of Consolidated Cash Flows in the Consolidated Financial Statements set forth in Part I, Item 1, Financial Statements of this Quarterly Report on Form 10-Q.</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Proceeds from Commercial Paper and Revolving Credit Facilities, Net</w:t>
      </w:r>
      <w:r>
        <w:rPr>
          <w:color w:val="000000"/>
        </w:rPr>
        <w:t xml:space="preserve"> </w:t>
      </w:r>
      <w:r>
        <w:rPr>
          <w:rFonts w:ascii="Times New Roman;sans-serif" w:hAnsi="Times New Roman;sans-serif"/>
          <w:b w:val="false"/>
          <w:color w:val="000000"/>
          <w:sz w:val="20"/>
        </w:rPr>
        <w:t xml:space="preserve">As of September 30, 2024, outstanding borrowings under the Company’s commercial paper and U.S. dollar denominated syndicated credit facility were $562 million, an increase of $190 million since December 31, 2023. During the nine months ended September 30, 2023, the Company had net borrowings of $202 million under the Company’s U.S. dollar denominated syndicated credit facility. </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 xml:space="preserve">Proceeds from Term Loan Facility </w:t>
      </w:r>
      <w:r>
        <w:rPr>
          <w:rFonts w:ascii="Times New Roman;sans-serif" w:hAnsi="Times New Roman;sans-serif"/>
          <w:b w:val="false"/>
          <w:color w:val="000000"/>
          <w:sz w:val="20"/>
        </w:rPr>
        <w:t>On April 1, 2024, the Company borrowed an aggregate $1.5 billion under a syndicated credit agreement. Loan proceeds were used to refinance certain indebtedness of Callon upon the closing of the Callon acquisition. For additional details of the credit agreement, see “</w:t>
      </w:r>
      <w:r>
        <w:rPr>
          <w:rFonts w:ascii="Times New Roman;sans-serif" w:hAnsi="Times New Roman;sans-serif"/>
          <w:b w:val="false"/>
          <w:i/>
          <w:color w:val="000000"/>
          <w:sz w:val="20"/>
        </w:rPr>
        <w:t xml:space="preserve">Term Loan Credit Agreement” </w:t>
      </w:r>
      <w:r>
        <w:rPr>
          <w:rFonts w:ascii="Times New Roman;sans-serif" w:hAnsi="Times New Roman;sans-serif"/>
          <w:b w:val="false"/>
          <w:color w:val="000000"/>
          <w:sz w:val="20"/>
        </w:rPr>
        <w:t>in the Liquidity section below. As of September 30, 2024, $1.0 billion remained outstanding under the term loan facility governed by the Term Loan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 xml:space="preserve">Proceeds from Asset Divestitures </w:t>
      </w:r>
      <w:r>
        <w:rPr>
          <w:rFonts w:ascii="Times New Roman;sans-serif" w:hAnsi="Times New Roman;sans-serif"/>
          <w:b w:val="false"/>
          <w:color w:val="000000"/>
          <w:sz w:val="20"/>
        </w:rPr>
        <w:t xml:space="preserve">The Company received $724 million and $29 million in proceeds from the divestiture of certain non-core assets during the first nine months of 2024 and 2023, respectively. For more information regarding the Company’s acquisitions and divestitures, refer to </w:t>
      </w:r>
      <w:hyperlink w:anchor="i157ee99daef34ad8b761272c789e67a2_49">
        <w:r>
          <w:rPr>
            <w:rStyle w:val="InternetLink"/>
            <w:rFonts w:ascii="Times New Roman;sans-serif" w:hAnsi="Times New Roman;sans-serif"/>
            <w:b w:val="false"/>
            <w:color w:val="0000FF"/>
            <w:sz w:val="20"/>
            <w:u w:val="single"/>
          </w:rPr>
          <w:t>Note 2—Acquisitions and Divestitures</w:t>
        </w:r>
      </w:hyperlink>
      <w:r>
        <w:rPr>
          <w:color w:val="000000"/>
        </w:rPr>
        <w:t xml:space="preserve"> </w:t>
      </w:r>
      <w:r>
        <w:rPr>
          <w:rFonts w:ascii="Times New Roman;sans-serif" w:hAnsi="Times New Roman;sans-serif"/>
          <w:b w:val="false"/>
          <w:color w:val="000000"/>
          <w:sz w:val="20"/>
        </w:rPr>
        <w:t>in the Notes to Consolidated Financial Statements in Part I, Item 1 of this Quarterly Report on Form 10-Q.</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 xml:space="preserve">Proceeds from Sale of Kinetik Shares </w:t>
      </w:r>
      <w:r>
        <w:rPr>
          <w:rFonts w:ascii="Times New Roman;sans-serif" w:hAnsi="Times New Roman;sans-serif"/>
          <w:b w:val="false"/>
          <w:color w:val="000000"/>
          <w:sz w:val="20"/>
        </w:rPr>
        <w:t xml:space="preserve">The Company received $428 million of cash proceeds from the sale of its remaining shares of Kinetik Class A Common Stock in March 2024. For more information regarding the Company’s equity method interests, refer to </w:t>
      </w:r>
      <w:hyperlink w:anchor="i157ee99daef34ad8b761272c789e67a2_61">
        <w:r>
          <w:rPr>
            <w:rStyle w:val="InternetLink"/>
            <w:rFonts w:ascii="Times New Roman;sans-serif" w:hAnsi="Times New Roman;sans-serif"/>
            <w:b w:val="false"/>
            <w:color w:val="0000FF"/>
            <w:sz w:val="20"/>
            <w:u w:val="single"/>
          </w:rPr>
          <w:t>Note 6—Equity Method Interests</w:t>
        </w:r>
      </w:hyperlink>
      <w:r>
        <w:rPr>
          <w:color w:val="000000"/>
        </w:rPr>
        <w:t xml:space="preserve"> </w:t>
      </w:r>
      <w:r>
        <w:rPr>
          <w:rFonts w:ascii="Times New Roman;sans-serif" w:hAnsi="Times New Roman;sans-serif"/>
          <w:b w:val="false"/>
          <w:color w:val="000000"/>
          <w:sz w:val="20"/>
        </w:rPr>
        <w:t>in the Notes to Consolidated Financial Statements set forth in Part I, Item 1 of this Quarterly Report on Form 10-Q.</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Uses of Cash and Cash Equivalents</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Additions to Upstream Oil &amp; Gas Property</w:t>
      </w:r>
      <w:r>
        <w:rPr>
          <w:color w:val="000000"/>
        </w:rPr>
        <w:t xml:space="preserve"> </w:t>
      </w:r>
      <w:r>
        <w:rPr>
          <w:rFonts w:ascii="Times New Roman;sans-serif" w:hAnsi="Times New Roman;sans-serif"/>
          <w:b w:val="false"/>
          <w:color w:val="000000"/>
          <w:sz w:val="20"/>
        </w:rPr>
        <w:t>Exploration and development cash expenditures were $2.2 billion and $1.7 billion during the first nine months of 2024 and 2023, respectively. The increase in capital investment compared to the prior-year period is reflective of the Company’s acquisition of Callon, which increased the number of drilling rigs being operated in the Permian Basin, partially offset by the Company’s efforts to balance workover activity in Egypt and reduce drilling activity in the North Sea as it continually assesses inventory opportunities across its diverse portfolio. The Company operated an average of approximately 23 drilling rigs during the first nine months of 2024, compared to an average of approximately 24 drilling rigs during the first nine months of 2023.</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 xml:space="preserve">Leasehold and Property Acquisitions </w:t>
      </w:r>
      <w:r>
        <w:rPr>
          <w:rFonts w:ascii="Times New Roman;sans-serif" w:hAnsi="Times New Roman;sans-serif"/>
          <w:b w:val="false"/>
          <w:color w:val="000000"/>
          <w:sz w:val="20"/>
        </w:rPr>
        <w:t>During the first nine months of 2024 and 2023, in addition to the Callon acquisition, the Company completed other leasehold and property acquisitions, primarily in the Permian Basin, for total cash consideration of $64 million and $11 million, respectively.</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Payments on Callon Credit Agreement</w:t>
      </w:r>
      <w:r>
        <w:rPr>
          <w:color w:val="000000"/>
        </w:rPr>
        <w:t xml:space="preserve"> </w:t>
      </w:r>
      <w:r>
        <w:rPr>
          <w:rFonts w:ascii="Times New Roman;sans-serif" w:hAnsi="Times New Roman;sans-serif"/>
          <w:b w:val="false"/>
          <w:color w:val="000000"/>
          <w:sz w:val="20"/>
        </w:rPr>
        <w:t>During the first nine months of 2024, the Company financed Callon’s repayment in full of the $472 million outstanding under the Callon Credit Agreement upon the Callon acquisition.</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 xml:space="preserve">Payments on Term Loan Facility </w:t>
      </w:r>
      <w:r>
        <w:rPr>
          <w:rFonts w:ascii="Times New Roman;sans-serif" w:hAnsi="Times New Roman;sans-serif"/>
          <w:b w:val="false"/>
          <w:color w:val="000000"/>
          <w:sz w:val="20"/>
        </w:rPr>
        <w:t>During the first nine months of 2024, the Company made a payment of $500 million</w:t>
      </w:r>
      <w:r>
        <w:rPr>
          <w:color w:val="000000"/>
        </w:rPr>
        <w:t xml:space="preserve"> </w:t>
      </w:r>
      <w:r>
        <w:rPr>
          <w:rFonts w:ascii="Times New Roman;sans-serif" w:hAnsi="Times New Roman;sans-serif"/>
          <w:b w:val="false"/>
          <w:color w:val="000000"/>
          <w:sz w:val="20"/>
        </w:rPr>
        <w:t>on its syndicated credit agreement. For additional details of the credit agreement, see “</w:t>
      </w:r>
      <w:r>
        <w:rPr>
          <w:rFonts w:ascii="Times New Roman;sans-serif" w:hAnsi="Times New Roman;sans-serif"/>
          <w:b w:val="false"/>
          <w:i/>
          <w:color w:val="000000"/>
          <w:sz w:val="20"/>
        </w:rPr>
        <w:t xml:space="preserve">Term Loan Credit Agreement” </w:t>
      </w:r>
      <w:r>
        <w:rPr>
          <w:rFonts w:ascii="Times New Roman;sans-serif" w:hAnsi="Times New Roman;sans-serif"/>
          <w:b w:val="false"/>
          <w:color w:val="000000"/>
          <w:sz w:val="20"/>
        </w:rPr>
        <w:t>in the Liquidity section below. As of September 30, 2024, $1.0 billion remained outstanding under the term loan facility governed by the Term Loan Credit Agreement.</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Payments on Fixed-Rate Debt</w:t>
      </w:r>
      <w:r>
        <w:rPr>
          <w:color w:val="000000"/>
        </w:rPr>
        <w:t xml:space="preserve"> </w:t>
      </w:r>
      <w:r>
        <w:rPr>
          <w:rFonts w:ascii="Times New Roman;sans-serif" w:hAnsi="Times New Roman;sans-serif"/>
          <w:b w:val="false"/>
          <w:color w:val="000000"/>
          <w:sz w:val="20"/>
        </w:rPr>
        <w:t>During the first nine months of 2024, the Company financed Callon’s repayment pursuant to Callon’s cash tender offers for, and redemptions of all senior notes issued under Callon’s indentures for an aggregate cash payment amount of $1.6 billion, reflecting principal amounts, premium to par, and associated fees.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Apache purchased in the open market and canceled senior notes issued under its indentures in an aggregate principal amount of $74 million for an aggregate purchase price of $65 million in cash. The Company recognized a $9 million gain on these repurchases.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that Apache will continue to reduce debt outstanding under its indentures from time to time.</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Dividends Paid to APA Common Stockholders</w:t>
      </w:r>
      <w:r>
        <w:rPr>
          <w:color w:val="000000"/>
        </w:rPr>
        <w:t xml:space="preserve"> </w:t>
      </w:r>
      <w:r>
        <w:rPr>
          <w:rFonts w:ascii="Times New Roman;sans-serif" w:hAnsi="Times New Roman;sans-serif"/>
          <w:b w:val="false"/>
          <w:color w:val="000000"/>
          <w:sz w:val="20"/>
        </w:rPr>
        <w:t xml:space="preserve">The Company paid $260 million and $232 million during the first nine months of 2024 and 2023, respectively, for dividends on its common stock. </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 xml:space="preserve">Distributions to Noncontrolling Interest </w:t>
      </w:r>
      <w:r>
        <w:rPr>
          <w:rFonts w:ascii="Times New Roman;sans-serif" w:hAnsi="Times New Roman;sans-serif"/>
          <w:b w:val="false"/>
          <w:color w:val="000000"/>
          <w:sz w:val="20"/>
        </w:rPr>
        <w:t>Sinopec International Petroleum Exploration and Production Corporation (Sinopec) holds a one-third minority participation interest in the Company’s oil and gas operations in Egypt. The Company paid $233 million and $154 million during the first nine months of 2024 and 2023, respectively, in cash distributions to Sinopec.</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 xml:space="preserve">Treasury Stock Activity, net </w:t>
      </w:r>
      <w:r>
        <w:rPr>
          <w:rFonts w:ascii="Times New Roman;sans-serif" w:hAnsi="Times New Roman;sans-serif"/>
          <w:b w:val="false"/>
          <w:color w:val="000000"/>
          <w:sz w:val="20"/>
        </w:rPr>
        <w:t>In the first nine months of 2024, the Company repurchased 4.6 million shares at an average price of $31.72 per share and an aggregate purchase price of approximately $146 million, and as of September 30, 2024, the Company had remaining authorization to repurchase 39.3 million shares. In the first nine months of 2023, the Company repurchased 5.5 million shares at an average price of $37.91 per share and an aggregate purchase price of approximately $208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2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Company’s key financial indicators:</w:t>
      </w:r>
    </w:p>
    <w:tbl>
      <w:tblPr>
        <w:tblW w:w="8332" w:type="dxa"/>
        <w:jc w:val="left"/>
        <w:tblInd w:w="0" w:type="dxa"/>
        <w:tblLayout w:type="fixed"/>
        <w:tblCellMar>
          <w:top w:w="28" w:type="dxa"/>
          <w:left w:w="28" w:type="dxa"/>
          <w:bottom w:w="28" w:type="dxa"/>
          <w:right w:w="28" w:type="dxa"/>
        </w:tblCellMar>
      </w:tblPr>
      <w:tblGrid>
        <w:gridCol w:w="1920"/>
        <w:gridCol w:w="1681"/>
        <w:gridCol w:w="1693"/>
        <w:gridCol w:w="109"/>
        <w:gridCol w:w="109"/>
        <w:gridCol w:w="109"/>
        <w:gridCol w:w="368"/>
        <w:gridCol w:w="624"/>
        <w:gridCol w:w="207"/>
        <w:gridCol w:w="109"/>
        <w:gridCol w:w="109"/>
        <w:gridCol w:w="109"/>
        <w:gridCol w:w="340"/>
        <w:gridCol w:w="576"/>
        <w:gridCol w:w="269"/>
      </w:tblGrid>
      <w:tr>
        <w:trPr/>
        <w:tc>
          <w:tcPr>
            <w:tcW w:w="1920"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 APA and Apache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 committed borrowing capacity under syndicated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Cash and Cash Equivalents</w:t>
      </w:r>
      <w:r>
        <w:rPr>
          <w:color w:val="000000"/>
        </w:rPr>
        <w:t xml:space="preserve"> </w:t>
      </w:r>
      <w:r>
        <w:rPr>
          <w:rFonts w:ascii="Times New Roman;sans-serif" w:hAnsi="Times New Roman;sans-serif"/>
          <w:b w:val="false"/>
          <w:color w:val="000000"/>
          <w:sz w:val="20"/>
        </w:rPr>
        <w:t>As of September 30, 2024, the Company had $64 million in cash and cash equivalents. The majority of the Company’s cash is invested in highly liquid, investment-grade instruments with maturities of three months or less at the time of purchase.</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 xml:space="preserve">As of September 30, 2024, the Company had $6.4 billion in total debt outstanding, which consisted of notes and debentures of Apache, credit facility and commercial paper borrowings, and finance lease obligations. As of September 30, 2024, current debt included $2 million of finance lease obligations. </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Unsecured 2022 Committed Credit Facilities</w:t>
      </w:r>
      <w:r>
        <w:rPr>
          <w:color w:val="000000"/>
        </w:rPr>
        <w:t xml:space="preserve"> </w:t>
      </w:r>
      <w:r>
        <w:rPr>
          <w:rFonts w:ascii="Times New Roman;sans-serif" w:hAnsi="Times New Roman;sans-serif"/>
          <w:b w:val="false"/>
          <w:color w:val="000000"/>
          <w:sz w:val="20"/>
        </w:rPr>
        <w:t>On April 29, 2022, the Company entered into two unsecured syndicated credit agreements for general corporate purposes.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One agreement is denominated in US dollars (the USD Agreement) and provides for an unsecured five-year revolving credit facility, with aggregate commitments of US$1.8 billion (including a letter of credit subfacility of up to US$750 million, of which US$150 million currently is committed). The Company may increase commitments up to an aggregate US$2.3 billion by adding new lenders or obtaining the consent of any increasing existing lenders. This facility matures in April 2027, subject to the Company’s two, one-year extension options.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second agreement is denominated in pounds sterling (the GBP Agreement) and provides for an unsecured five-year revolving credit facility, with aggregate commitments of £1.5 billion for loans and letters of credit. This facility matures in April 2027, subject to the Company’s two, one-year extension options.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Apache may borrow under the USD Agreement up to an aggregate principal amount of US$300 million outstanding at any given time. Apache has guaranteed obligations under each of the USD Agreement and GBP Agreement effective until the aggregate principal amount of indebtedness under senior notes and debentures outstanding under Apache’s existing indentures first is less than US$1.0 billion.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there were $232 million of borrowings under the USD Agreement and an aggregate £303 million in letters of credit outstanding under the GBP Agreement. As of September 30, 2024, there were no letters of credit outstanding under the USD Agreement. As of December 31, 2023, there were $372 million of borrowings under the USD Agreement and an aggregate £348 million in letters of credit outstanding under the GBP Agreement. As of December 31, 2023, there were no letters of credit outstanding under the USD Agreement.</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 xml:space="preserve">Uncommitted Lines of Credit </w:t>
      </w:r>
      <w:r>
        <w:rPr>
          <w:rFonts w:ascii="Times New Roman;sans-serif" w:hAnsi="Times New Roman;sans-serif"/>
          <w:b w:val="false"/>
          <w:color w:val="000000"/>
          <w:sz w:val="20"/>
        </w:rPr>
        <w:t>Each of the Company and</w:t>
      </w:r>
      <w:r>
        <w:rPr>
          <w:color w:val="000000"/>
        </w:rPr>
        <w:t xml:space="preserve"> </w:t>
      </w:r>
      <w:r>
        <w:rPr>
          <w:rFonts w:ascii="Times New Roman;sans-serif" w:hAnsi="Times New Roman;sans-serif"/>
          <w:b w:val="false"/>
          <w:color w:val="000000"/>
          <w:sz w:val="20"/>
        </w:rPr>
        <w:t>Apache, from time to time, has and uses uncommitted credit and letter of credit facilities for working capital and credit support purposes. As of September 30, 2024 and December 31, 2023, there were no outstanding borrowings under these facilities. As of September 30, 2024, there were £461 million and $11 million in letters of credit outstanding under these facilities. As of December 31, 2023, there were £416 million and $2 million in letters of credit outstanding under these facilities.</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 xml:space="preserve">Commercial Paper Program </w:t>
      </w:r>
      <w:r>
        <w:rPr>
          <w:rFonts w:ascii="Times New Roman;sans-serif" w:hAnsi="Times New Roman;sans-serif"/>
          <w:b w:val="false"/>
          <w:color w:val="000000"/>
          <w:sz w:val="20"/>
        </w:rPr>
        <w:t>In December 2023, the Company established a commercial paper program under which it from time to time may issue in private placements exempt from registration under the Securities Act short-term unsecured promissory notes (CP Notes) up to a maximum aggregate face amount of $1.8 billion outstanding at any time. The maturities of CP Notes may vary but may not exceed 397 days from the date of issuance. Outstanding CP Notes are supported by available borrowing capacity under the Company’s committed $1.8 billion USD Agreement.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Payment of CP Notes has been unconditionally guaranteed on an unsecured basis by Apache, such guarantee effective until the first time that the aggregate principal amount of indebtedness under senior notes and debentures outstanding under Apache’s existing indentures is less than US$1.0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there was $330 million in aggregate face amount of CP Notes outstanding, which is classified as long-term debt. As of December 31, 2023, there were no CP Notes outstanding.</w:t>
      </w:r>
    </w:p>
    <w:p>
      <w:pPr>
        <w:pStyle w:val="TextBody"/>
        <w:bidi w:val="0"/>
        <w:spacing w:lineRule="auto" w:line="268" w:before="200" w:after="283"/>
        <w:ind w:left="0" w:right="0" w:firstLine="495"/>
        <w:jc w:val="both"/>
        <w:rPr/>
      </w:pPr>
      <w:r>
        <w:rPr>
          <w:rFonts w:ascii="Times New Roman;sans-serif" w:hAnsi="Times New Roman;sans-serif"/>
          <w:b w:val="false"/>
          <w:i/>
          <w:color w:val="000000"/>
          <w:sz w:val="20"/>
        </w:rPr>
        <w:t>Term Loan Credit Agreement</w:t>
      </w:r>
      <w:r>
        <w:rPr>
          <w:color w:val="000000"/>
        </w:rPr>
        <w:t xml:space="preserve"> </w:t>
      </w:r>
      <w:r>
        <w:rPr>
          <w:rFonts w:ascii="Times New Roman;sans-serif" w:hAnsi="Times New Roman;sans-serif"/>
          <w:b w:val="false"/>
          <w:color w:val="000000"/>
          <w:sz w:val="20"/>
        </w:rPr>
        <w:t>On January 30, 2024, APA entered into a syndicated credit agreement under which the lenders committed an aggregate $2.0 billion for senior unsecured delayed-draw term loans to APA (Term Loan Credit Agreement), the proceeds of which could be used to refinance certain indebtedness of Callon only once upon the date of the closings under the Merger Agreement and Term Loan Credit Agreement; of such aggregate commitments, $1.5 billion was for term loans that would mature three years after the date of such closings (3-Year Tranche Loans) and $500 million was for term loans that would mature 364 days after the date of such closings (364-Day Tranche Loans). Apache has guaranteed obligations under the Term Loan Credit Agreement effective until the aggregate principal amount of indebtedness under senior notes and debentures outstanding under Apache’s existing indentures first is less than $1.0 billion.</w:t>
      </w:r>
    </w:p>
    <w:p>
      <w:pPr>
        <w:pStyle w:val="TextBody"/>
        <w:bidi w:val="0"/>
        <w:spacing w:lineRule="auto" w:line="26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2024, APA closed the transactions under the Term Loan Credit Agreement, electing to borrow an aggregate $1.5 billion in 3-Year Tranche Loans maturing April 1, 2027, and to allow the lender commitments for the 364-Day Tranche Loans to expire. Loan proceeds were used to refinance certain indebtedness of Callon upon the substantially simultaneous closing of APA’s acquisition of Callon pursuant to the Merger Agreement and to pay related fees and expenses. APA may at any time prepay loans under the Term Loan Credit Agreement. As of September 30, 2024, $1.0 billion in 3-Year Tranche Loans remained outstanding under the Term Loan Credit Agreement.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Indebtedness of Callon that APA could refinance by borrowing under the Term Loan Credit Agreement included indebtedness outstanding under (i) the Amended and Restated Credit Agreement, dated October 19, 2022, among Callon, JPMorgan Chase Bank, N.A., as administrative agent, and the lenders party thereto (Callon Credit Agreement), (ii) Callon’s 6.375% Senior Notes due 2026 (Callon’s 2026 Notes), (iii) Callon’s 8.00% Senior Notes due 2028 (Callon’s 2028 Notes), and (iv) Callon’s 7.500% Senior Notes due 2030 (Callon’s 2030 Notes).</w:t>
      </w:r>
    </w:p>
    <w:p>
      <w:pPr>
        <w:pStyle w:val="TextBody"/>
        <w:bidi w:val="0"/>
        <w:spacing w:lineRule="auto" w:line="26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2024, all indebtedness under the Callon Credit Agreement and Callon’s 2026 Notes was repaid, and the aggregate principal balance remaining outstanding under Callon’s 2028 Notes and Callon’s 2030 Notes was reduced to $24 million. On May 6, 2024, all remaining indebtedness under Callon’s 2028 Notes and Callon’s 2030 Notes was repaid. Given these repayments, no guarantee by Callon of APA’s obligations under the Term Loan Credit Agreement is required.</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2024, the following Callon indebtedness was repaid by borrowings under the Term Loan Credit Agreement and the USD Agreement: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Callon closed cash tender offers for Callon’s 2028 Notes and Callon’s 2030 Notes, accepting for purchase $1.2 billion aggregate principal amount of notes. Callon paid holders an aggregate $1.3 billion in cash, reflecting principal, premium to par, early tender consent fee, and accrued and unpaid interest.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Callon redeemed the outstanding $321 million principal amount of Callon’s 2026 Notes at a redemption price equal to 101.063% of their principal amount, plus accrued and unpaid interest to the redemption date.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Callon repaid the aggregate $472 million owed under the Callon Credit Agreement, including principal, accrued and unpaid interest, and certain fees.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May 6, 2024, Callon fully redeemed the remaining outstanding $8 million principal amount of Callon’s 2028 Notes at a redemption price equal to 101.588% of their principal amount and $16 million principal amount of Callon’s 2030 Notes at a redemption price equal to 102.803% of their principal amount, in each case, plus accrued and unpaid interest to the redemption date. The repayments were partially funded by borrowing under the USD Agreement.</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 xml:space="preserve">Off-Balance Sheet Arrangements </w:t>
      </w:r>
      <w:r>
        <w:rPr>
          <w:rFonts w:ascii="Times New Roman;sans-serif" w:hAnsi="Times New Roman;sans-serif"/>
          <w:b w:val="false"/>
          <w:color w:val="000000"/>
          <w:sz w:val="20"/>
        </w:rPr>
        <w:t>The Company enters into customary agreements in the oil and gas industry for drilling rig commitments, firm transportation agreements, and other obligations that may not be recorded on the Company’s consolidated balance sheet. For more information regarding these and other contractual arrangements, please refer to “Contractual Obligations” in Part II, Item 7 of APA’s Annual Report on Form 10-K for the fiscal year ended December 31, 2023. There have been no material changes to the contractual obligations described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Potential Decommissioning Obligations on Sold Properties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In 2013, Apache sold its Gulf of Mexico (GOM) Shelf operations and properties and its GOM operating subsidiary, GOM Shelf LLC (GOM Shelf) to Fieldwood Energy LLC (Fieldwood). Fieldwood assumed the obligation to decommission the properties held by GOM Shelf and the properties acquired from Apache and its other subsidiaries (collectively, the Legacy GOM Assets). On February 14, 2018, Fieldwood filed for (and subsequently emerged from) Chapter 11 bankruptcy protection. On August 3, 2020, Fieldwood filed for (and subsequently emerged from) Chapter 11 bankruptcy protection for a second time. Upon emergence from this second bankruptcy, </w:t>
      </w:r>
      <w:r>
        <w:rPr>
          <w:rFonts w:ascii="Times New Roman;sans-serif" w:hAnsi="Times New Roman;sans-serif"/>
          <w:b w:val="false"/>
          <w:color w:val="000000"/>
          <w:sz w:val="20"/>
          <w:shd w:fill="FFFFFF" w:val="clear"/>
        </w:rPr>
        <w:t>the Legacy GOM Assets were separated into a standalone company, which was subsequently merged into GOM Shelf. Under GOM Shelf’s limited liability company agreement, the proceeds of production of the Legacy GOM Assets are to be used to fund the operation of GOM Shelf and the decommissioning of Legacy GOM Assets.</w:t>
      </w:r>
      <w:r>
        <w:rPr>
          <w:color w:val="000000"/>
        </w:rPr>
        <w:t xml:space="preserve"> </w:t>
      </w:r>
      <w:r>
        <w:rPr>
          <w:rFonts w:ascii="Times New Roman;sans-serif" w:hAnsi="Times New Roman;sans-serif"/>
          <w:b w:val="false"/>
          <w:color w:val="000000"/>
          <w:sz w:val="20"/>
          <w:shd w:fill="FFFFFF" w:val="clear"/>
        </w:rPr>
        <w:t xml:space="preserve">Pursuant to the terms of the original transaction, as amended in the first bankruptcy, </w:t>
      </w:r>
      <w:r>
        <w:rPr>
          <w:rFonts w:ascii="Times New Roman;sans-serif" w:hAnsi="Times New Roman;sans-serif"/>
          <w:b w:val="false"/>
          <w:color w:val="000000"/>
          <w:sz w:val="20"/>
        </w:rPr>
        <w:t>the securing of the asset retirement obligations for the Legacy GOM Assets as and when Apache is required to perform or pay for any such decommissioning was accomplished through the posting of letters of credit in favor of Apache (Letters of Credit), the provision of two bonds (Bonds) in favor of Apache, and the establishment of a trust account of which Apache was a beneficiary and which was funded by net profits interests (NPIs) depending on future oil prices. In addition, after such sources have been exhausted, Apache agreed upon resolution of GOM Shelf’s second bankruptcy to provide a standby loan to GOM Shelf of up to $400 million to perform decommissioning, with such standby loan secured by a first and prior lien on the Legacy GOM Assets.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letter dated April 5, 2022 (replacing two earlier letters) and by subsequent letter dated March 1, 2023, GOM Shelf notified the Bureau of Safety and Environmental Enforcement (BSEE) that it was unable to fund the decommissioning obligations that it was obligated to perform on certain of the Legacy GOM Assets. As a result, Apache and other current and former owners in these assets have received orders from BSEE and demands from third parties to decommission certain of the Legacy GOM Assets included in GOM Shelf’s notifications to BSEE. Apache expects to receive similar orders and demands on the other Legacy GOM Assets included in GOM Shelf’s notification letters. Apache has also received orders to decommission other Legacy GOM Assets that were not included in GOM Shelf’s notification letters. Further, Apache anticipates that GOM Shelf may send additional such notices to BSEE in the future and that it may receive additional orders from BSEE requiring it to decommission other Legacy GOM Assets. </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On June 21, 2023, two sureties that issued Bonds directly to Apache and two sureties that issued bonds to the issuing bank on the Letters of Credit filed suit against Apache in a case styled </w:t>
      </w:r>
      <w:r>
        <w:rPr>
          <w:rFonts w:ascii="Times New Roman;sans-serif" w:hAnsi="Times New Roman;sans-serif"/>
          <w:b w:val="false"/>
          <w:i/>
          <w:color w:val="000000"/>
          <w:sz w:val="20"/>
        </w:rPr>
        <w:t>Zurich American Insurance Company, HCC International Insurance Company PLC, Philadelphia Indemnity Insurance Company and Everest Reinsurance Company (Insurers) v. Apache Corporation</w:t>
      </w:r>
      <w:r>
        <w:rPr>
          <w:rFonts w:ascii="Times New Roman;sans-serif" w:hAnsi="Times New Roman;sans-serif"/>
          <w:b w:val="false"/>
          <w:color w:val="000000"/>
          <w:sz w:val="20"/>
        </w:rPr>
        <w:t>, Cause No. 2023-38238 in the 281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Judicial District Court, Harris County Texas. The sureties sought to prevent Apache from drawing on the Bonds and Letters of Credit and further alleged that they are discharged from their reimbursement obligations related to decommissioning costs and are entitled to other relief. On July 20, 2023, the 281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Judicial District Court denied the Insurers’ request for a temporary injunction. On July 26, 2023, Apache removed the suit to the United States Bankruptcy Court for the Southern District of Texas (Houston Division). Since the time the sureties filed their state court lawsuit, Apache has drawn down the entirety of the Letters of Credit. Apache has also sought to draw down on the Bonds; however, the sureties refuse to pay such Bond draws. On September 12, 2024, the bankruptcy court issued its opinion (1) finding that the sureties’ state court lawsuit against Apache was void; (2) holding that Apache’s claims against the sureties for unpaid amounts may proceed in bankruptcy court; and (3) holding the sureties in civil contempt and awarding attorneys’ fees to Apache as a sanction in an amount to be determined in a future hearing. Apache is vigorously pursuing its claims against the sureties.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Company has recorded a $188 million asset, which represents the remaining amount the Company expects to be reimbursed from security related to these decommissioning costs.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recorded contingent liabilities in the amounts of $853 million and $824 million as of September 30, 2024 and December 31, 2023, respectively, representing the estimated costs of decommissioning it may be required to perform on the Legacy GOM Assets. The Company recognized $83 million in the first nine months of 2024 of “Loss on previously sold Gulf of Mexico properties.” Amounts recorded in the first nine months of 2024 included $50 million related to orders received from BSEE during the period to decommission properties previously sold to Cox Operating LLC and to decommission a property operated and produced by Fieldwood Energy Offshore and Dynamic Offshore Resources NS, LLC. The Company recognized no losses for decommissioning previously sold properties during the third quarter and the first nine months of 2023. There have been no other changes in estimates from December 31, 2023 that would have a material impact on the Company’s financial position, results of operations, or liquidity.</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Critical Accounting Estimates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prepares its financial statements and accompanying notes in conformity with accounting principles generally accepted in the U.S., which require management to make estimates and assumptions about future events that affect reported amounts in the financial statements and the accompanying notes. The Company identifies certain accounting policies involving estimation as critical accounting estimates based on, among other things, their impact on the portrayal of the Company’s financial condition, results of operations, or liquidity, as well as the degree of difficulty, subjectivity, and complexity in their deployment. Critical accounting estimates address accounting matters that are inherently uncertain due to unknown future resolution of such matters. Management routinely discusses the development, selection, and disclosure of each critical accounting estimate. For a discussion of the Company’s most critical accounting estimates, please see the Company’s Annual Report on Form 10-K for the fiscal year ended December 31, 2023. For the nine months ended September 30, 2024, the Company notes the following additional critical accounting estimate:</w:t>
      </w:r>
    </w:p>
    <w:p>
      <w:pPr>
        <w:pStyle w:val="TextBody"/>
        <w:bidi w:val="0"/>
        <w:spacing w:lineRule="auto" w:line="288" w:before="2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Long-Lived Asset Impairments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used in operations, including proved oil and gas properties and GPT assets, are assessed for impairment whenever changes in facts and circumstances indicate a possible significant deterioration in future cash flows expected to be generated by an asset. Individual assets are grouped for impairment purposes based on a judgmental assessment of the lowest level for which there are identifiable cash flows that are largely independent of the cash flows of other groups of assets. If there is an indication that the carrying amount of an asset group may not be recovered, the asset is assessed by management through an established process in which changes to significant assumptions such as prices, volumes, and future development plans are reviewed. If, upon review, the sum of the undiscounted pre-tax cash flows is less than the carrying value of the asset group, the carrying value is written down to estimated fair value. Because there usually is a lack of quoted market prices for long-lived assets, the fair value of impaired assets is assessed by management using the income approach.</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income approach, the fair value of each asset group is estimated based on the present value of expected future cash flows. The income approach is dependent on a number of factors including estimates of forecasted revenue and operating costs, proved reserves, the success of future exploration for and development of unproved reserves, expected throughput volumes for GPT assets, discount rates, and other variables. Key assumptions used in developing a discounted cash flow model described above include estimated quantities of crude oil and natural gas reserves; estimates of market prices considering forward commodity price curves as of the measurement date; and estimates of operating, administrative, and capital costs adjusted for inflation. The Company discounts the resulting future cash flows using a discount rate believed to be consistent with those applied by market participants.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 assess the reasonableness of our fair value estimate, when available, management uses a market approach to compare the fair value to similar assets. This requires management to make certain judgments about the selection of comparable assets, recent comparable asset transactions, and transaction premiums.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fair value estimate of each asset group is based on assumptions believed to be reasonable, those assumptions are inherently unpredictable and uncertain, and actual results could differ from the estimate. Negative revisions of estimated reserves quantities, increases in future cost estimates, divestiture of a significant component of the asset group, or sustained decreases in crude oil or natural gas prices could lead to a reduction in expected future cash flows and possibly an additional impairment of long-lived assets in future periods.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The Company has recorded material impairments of certain proved oil and gas properties and gathering, processing, and transmission facilities in the third quarter of 2024. For discussion of these impairments, see “Fair Value Measurements” of </w:t>
      </w:r>
      <w:hyperlink w:anchor="i157ee99daef34ad8b761272c789e67a2_43">
        <w:r>
          <w:rPr>
            <w:rStyle w:val="InternetLink"/>
            <w:rFonts w:ascii="Times New Roman;sans-serif" w:hAnsi="Times New Roman;sans-serif"/>
            <w:b w:val="false"/>
            <w:color w:val="0000FF"/>
            <w:sz w:val="20"/>
            <w:u w:val="single"/>
          </w:rPr>
          <w:t>Note 1—Summary of Significant Accounting Policies</w:t>
        </w:r>
      </w:hyperlink>
      <w:r>
        <w:rPr>
          <w:color w:val="000000"/>
        </w:rPr>
        <w:t xml:space="preserve"> </w:t>
      </w:r>
      <w:r>
        <w:rPr>
          <w:rFonts w:ascii="Times New Roman;sans-serif" w:hAnsi="Times New Roman;sans-serif"/>
          <w:b w:val="false"/>
          <w:color w:val="000000"/>
          <w:sz w:val="20"/>
        </w:rPr>
        <w:t>in the Notes to Consolidated Financial Statements.</w:t>
      </w:r>
    </w:p>
    <w:p>
      <w:pPr>
        <w:pStyle w:val="TextBody"/>
        <w:bidi w:val="0"/>
        <w:spacing w:lineRule="auto" w:line="288" w:before="20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Purchase Price Allocation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Accounting for the acquisition of a business requires the allocation of the purchase price to the various assets and liabilities of the acquired business and recording deferred taxes for any differences between the allocated values and tax basis of assets and liabilities. Any excess of the purchase price over the amounts assigned to assets and liabilities would be recorded as goodwill.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allocation is accomplished by recording each asset and liability at its estimated fair value. Estimated deferred taxes are based on available information concerning the tax basis of the acquired company’s assets and liabilities and tax-related carryforwards at the merger date, although such estimates may change in the future as additional information becomes known. The amount of goodwill recorded in any particular business combination can vary significantly depending upon the values attributed to assets acquired and liabilities assumed relative to the total acquisition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estimating the fair values of assets acquired and liabilities assumed, the Company has made various assumptions. The most significant assumptions relate to the estimated fair values assigned to proved and unproved crude oil and natural gas properties. To estimate the fair values of these properties, the Company prepared estimates of crude oil and natural gas reserves as described in the “Reserves Estimates” section of Management’s Discussion and Analysis of Financial Condition and Results of Operations included in the Company’s Annual Report on Form 10-K for the fiscal year ended December 31, 2023. Estimated fair values assigned to assets acquired can have a significant effect on results of operations in the future.</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New Accounting Pronouncements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2024, the Financial Accounting Standards Board (FASB) issued Accounting Standards Update (ASU) 2024-03, “Income Statement – Reporting Comprehensive Income – Expense Disaggregation Disclosures (Subtopic 220-40),” which expands disclosures around a public entity’s costs and expenses of specific items (i.e. employee compensation, DD&amp;A), requires the inclusion of amounts that are required to be disclosed under GAAP in the same disclosure as other disaggregation requirements, requires qualitative descriptions of amounts remaining in expense captions that are not separately disaggregated quantitatively, and requires disclosure of total selling expenses, and in annual periods, the definition of selling expenses. The amendment does not change or remove existing disclosure requirements. The amendment is effective for fiscal years beginning after December 15, 2026, and interim periods with fiscal years beginning after December 15, 2027. Early adoption is permitted, and the amendment can be adopted prospectively or retrospectively to any or all periods presented in the financial statements. The Company is currently assessing the impact of adopting this standard.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objective of the following information is to provide forward-looking quantitative and qualitative information about the Company’s exposure to market risk. The term market risk relates to the risk of loss arising from adverse changes in oil, gas, and NGL prices, interest rates, or foreign currency and adverse governmental actions. The disclosures are not meant to be precise indicators of expected future losses, but rather indicators of reasonably possible losses. The forward-looking information provides indicators of how the Company views and manages its ongoing market risk exposures.</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Commodity Price Risk</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earnings, cash flow, capital investments and, ultimately, future rate of growth are highly dependent on the prices the Company receives for its crude oil, natural gas, and NGLs, which have historically been very volatile because of unpredictable events such as economic growth or retraction, weather, political climate, and global supply and demand. The Company continually monitors its market risk exposure, as oil and gas supply and demand are impacted by uncertainties in the commodity and financial markets associated with the conflict in Ukraine, the conflict in Israel and Gaza, actions taken by foreign oil and gas producing nations, including OPEC+, global inflation, and other current events.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average crude oil price realizations decreased 9 percent from $86.15 per barrel to $78.06 per barrel during the third quarters of 2023 and 2024, respectively. The Company’s average natural gas price realizations decreased 54 percent from $3.12 per Mcf to $1.43 per Mcf during the third quarters of 2023 and 2024, respectively. The Company’s average NGL price realizations decreased 4 percent from $22.26 per barrel to $21.29 per barrel during the third quarters of 2023 and 2024, respectively. Based on average daily production for the third quarter of 2024, a $1.00 per barrel change in the weighted average realized oil price would have increased or decreased revenues for the quarter by approximately $24 million, a $0.10 per Mcf change in the weighted average realized natural gas price would have increased or decreased revenues for the quarter by approximately $7 million, and a $1.00 per barrel change in the weighted average realized NGL price would have increased or decreased revenues for the quarter by approximately $7 million.</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The Company periodically enters into derivative positions on a portion of its projected crude oil and natural gas production through a variety of financial and physical arrangements intended to manage fluctuations in cash flows resulting from changes in commodity prices. Such derivative positions may include the use of futures contracts, swaps, and/or options. The Company does not hold or issue derivative instruments for trading purposes. As of September 30, 2024, the Company had open natural gas derivatives not designated as cash flow hedges in an asset position with a fair value of $1 million. A 10 percent increase in natural gas prices would increase the liability by approximately $1 million, while a 10 percent decrease in prices would decrease the liability by approximately $1 million. As of September 30, 2024, the Company had open NGL derivatives not designated as cash flow hedges in a liability position with a fair value of $1 million. The impact of a 10 percent movement in NGL prices would be immaterial to the fair value of the commodity derivatives. These fair value changes assume volatility based on prevailing market parameters at September 30, 2024. Refer to </w:t>
      </w:r>
      <w:hyperlink w:anchor="i157ee99daef34ad8b761272c789e67a2_55">
        <w:r>
          <w:rPr>
            <w:rStyle w:val="InternetLink"/>
            <w:rFonts w:ascii="Times New Roman;sans-serif" w:hAnsi="Times New Roman;sans-serif"/>
            <w:b w:val="false"/>
            <w:color w:val="0000FF"/>
            <w:sz w:val="20"/>
            <w:u w:val="single"/>
          </w:rPr>
          <w:t>Note 4—Derivative Instruments and Hedging Activities</w:t>
        </w:r>
      </w:hyperlink>
      <w:r>
        <w:rPr>
          <w:color w:val="000000"/>
        </w:rPr>
        <w:t xml:space="preserve"> </w:t>
      </w:r>
      <w:r>
        <w:rPr>
          <w:rFonts w:ascii="Times New Roman;sans-serif" w:hAnsi="Times New Roman;sans-serif"/>
          <w:b w:val="false"/>
          <w:color w:val="000000"/>
          <w:sz w:val="20"/>
        </w:rPr>
        <w:t>in the Notes to Consolidated Financial Statements set forth in Part I, Item 1 of this Quarterly Report on Form 10-Q for notional volumes and terms with the Company’s derivative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Interest Rate Risk</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Company had $4.8 billion, net, in outstanding notes and debentures, all of which was fixed-rate debt, with a weighted average interest rate of 5.34 percent. Although near-term changes in interest rates may affect the fair value of fixed-rate debt, such changes do not expose the Company to the risk of earnings or cash flow loss associated with that debt.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also exposed to interest rate risk related to its interest-bearing cash and cash equivalents balances and amounts outstanding under its term loan facility, commercial paper program, and syndicated credit facilities. As of September 30, 2024, the Company had approximately $64 million in cash and cash equivalents, approximately 86 percent of which was invested in money market funds and short-term investments with major financial institutions. As of September 30, 2024, there were $1.6 billion of borrowings outstanding under the Company’s term loan facility, commercial paper program, and syndicated revolving credit facilities. Changes in the interest rate applicable to short-term investments, term loan facility, commercial paper program, and credit facility borrowings are expected to have an immaterial impact on earnings and cash flows but could impact interest costs associated with future debt issuances or any future borrowings. </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Foreign Currency Exchange Rate Risk</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activities relating to certain international operations is based on the U.S. dollar equivalent of cash flows measured in foreign currencies. The Company’s North Sea production is sold under U.S. dollar contracts, while the majority of costs incurred are paid in British pounds. The Company’s Egypt production is sold under U.S. dollar contracts, and the majority of costs incurred are denominated in U.S. dollars. Transactions denominated in British pounds are converted to U.S. dollar equivalents based on the average exchange rates during the period. The Company monitors foreign currency exchange rates of countries in which it is conducting business and may, from time to time, implement measures to protect against foreign currency exchange rate risk.</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Foreign currency gains and losses also arise when monetary assets and monetary liabilities denominated in foreign currencies are translated at the end of each month. Foreign currency gains and losses are included as either a component of “Other” under “Revenues and Other” or, as is the case when the Company re-measures its foreign tax liabilities, as a component of the Company’s provision for income tax expense on the statement of consolidated operations. Foreign currency net gain or loss of $5 million would result from a 10 percent weakening or strengthening, respectively, in the British pound as of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Disclosure Controls and Procedures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John J. Christmann IV, the Company’s Chief Executive Officer, in his capacity as principal executive officer, and Stephen J. Riney, the Company’s President and Chief Financial Officer, in his capacity as principal financial officer, evaluated the effectiveness of the Company’s disclosure controls and procedures as of September 30, 2024, the end of the period covered by this report. Based on that evaluation and as of the date of that evaluation, these officers concluded that the Company’s disclosure controls and procedures were effective, providing effective means to ensure that the information the Company is required to disclose under applicable laws and regulations is recorded, processed, summarized and reported within the time periods specified in the Commission’s rules and forms and accumulated and communicated to the Company’s management, including its principal executive officer and principal financial officer, to allow timely decisions regarding required disclosure.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reviews the design and effectiveness of its disclosure controls, including compliance with various laws and regulations that apply to its operations, both inside and outside the United States. The Company makes modifications to improve the design and effectiveness of our disclosure controls, and may take other corrective action, if the Company’s reviews identify deficiencies or weaknesses in its controls.</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Changes in Internal Control Over Financial Reporting</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Callon acquisition on April 1, 2024, the Company’s internal control over financial reporting, subsequent to the date of acquisition, includes certain additional internal controls relating to Callon. There were no other changes in the Company’s internal control over financial reporting that occurred during the quarter ended September 30, 2024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Refer to Part I, Item 3—Legal Proceedings of the Company’s Annual Report on Form 10-K for the fiscal year ended December 31, 2023 and </w:t>
      </w:r>
      <w:hyperlink w:anchor="i157ee99daef34ad8b761272c789e67a2_79">
        <w:r>
          <w:rPr>
            <w:rStyle w:val="InternetLink"/>
            <w:rFonts w:ascii="Times New Roman;sans-serif" w:hAnsi="Times New Roman;sans-serif"/>
            <w:b w:val="false"/>
            <w:color w:val="0000FF"/>
            <w:sz w:val="20"/>
            <w:u w:val="single"/>
          </w:rPr>
          <w:t>Note 11—Commitments and Contingencies</w:t>
        </w:r>
      </w:hyperlink>
      <w:r>
        <w:rPr>
          <w:color w:val="000000"/>
        </w:rPr>
        <w:t xml:space="preserve"> </w:t>
      </w:r>
      <w:r>
        <w:rPr>
          <w:rFonts w:ascii="Times New Roman;sans-serif" w:hAnsi="Times New Roman;sans-serif"/>
          <w:b w:val="false"/>
          <w:color w:val="000000"/>
          <w:sz w:val="20"/>
        </w:rPr>
        <w:t>in the Notes to the Consolidated Financial Statements set forth in Part I, Item 1 of this Quarterly Report on Form 10-Q (which is hereby incorporated by reference herein), for a description of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disclosed in Part I, Item 1A—Risk Factors of the Company’s Annual Report on Form 10-K for the fiscal year ended December 31, 2023.</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Given the nature of its business, Apache Corporation may be subject to different or additional risks than those applicable to the Company. For a description of these risks, refer to the disclosures in Apache Corporation’s Quarterly Reports on Form 10-Q for the quarterly periods ended March 31, 2024, June 30, 2024, and September 30, 2024 and Apache Corporation’s Annual Report on Form 10-K for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on shares of common stock repurchased by the Company during the quarter ended September 30, 2024:</w:t>
      </w:r>
    </w:p>
    <w:tbl>
      <w:tblPr>
        <w:tblW w:w="10205" w:type="dxa"/>
        <w:jc w:val="left"/>
        <w:tblInd w:w="0" w:type="dxa"/>
        <w:tblLayout w:type="fixed"/>
        <w:tblCellMar>
          <w:top w:w="28" w:type="dxa"/>
          <w:left w:w="28" w:type="dxa"/>
          <w:bottom w:w="28" w:type="dxa"/>
          <w:right w:w="28" w:type="dxa"/>
        </w:tblCellMar>
      </w:tblPr>
      <w:tblGrid>
        <w:gridCol w:w="641"/>
        <w:gridCol w:w="362"/>
        <w:gridCol w:w="364"/>
        <w:gridCol w:w="109"/>
        <w:gridCol w:w="109"/>
        <w:gridCol w:w="109"/>
        <w:gridCol w:w="597"/>
        <w:gridCol w:w="463"/>
        <w:gridCol w:w="464"/>
        <w:gridCol w:w="109"/>
        <w:gridCol w:w="109"/>
        <w:gridCol w:w="109"/>
        <w:gridCol w:w="284"/>
        <w:gridCol w:w="831"/>
        <w:gridCol w:w="146"/>
        <w:gridCol w:w="109"/>
        <w:gridCol w:w="109"/>
        <w:gridCol w:w="109"/>
        <w:gridCol w:w="865"/>
        <w:gridCol w:w="763"/>
        <w:gridCol w:w="765"/>
        <w:gridCol w:w="109"/>
        <w:gridCol w:w="109"/>
        <w:gridCol w:w="109"/>
        <w:gridCol w:w="702"/>
        <w:gridCol w:w="678"/>
        <w:gridCol w:w="972"/>
      </w:tblGrid>
      <w:tr>
        <w:trPr/>
        <w:tc>
          <w:tcPr>
            <w:tcW w:w="64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tc>
      </w:tr>
      <w:tr>
        <w:trPr/>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Total Number of Shares Purchased as Part of Publicly Announced Plans or Programs</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Maximum Number of Shares that May Yet Be Purchased Under the Plans or Programs</w:t>
            </w:r>
            <w:r>
              <w:rPr>
                <w:rFonts w:ascii="Times New Roman;sans-serif" w:hAnsi="Times New Roman;sans-serif"/>
                <w:b/>
                <w:color w:val="000000"/>
                <w:sz w:val="13"/>
              </w:rPr>
              <w:t>(1)</w:t>
            </w:r>
          </w:p>
        </w:tc>
      </w:tr>
      <w:tr>
        <w:trPr/>
        <w:tc>
          <w:tcPr>
            <w:tcW w:w="1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July 1 to July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102,305 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102,305 </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39,326,125</w:t>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1 to August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39,326,125</w:t>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to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39,326,125</w:t>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29.33 </w:t>
            </w:r>
          </w:p>
        </w:tc>
        <w:tc>
          <w:tcPr>
            <w:tcW w:w="1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During the third quarter of 2022, the Company's Board of Directors authorized the purchase of 40 million shares of the Company's common stock. Shares may be purchased either in the open market or through privately negotiated transactions. The Company is not obligated to acquire any specific number of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none of the Company’s officers or directors adopted or terminated any Rule 10b5-1 trading arrangement or “non-Rule 10b5-1 trading arrangement” (as such term is defined in Item 408 of Regulation S-K promulgated under the Securities Act).</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48"/>
        <w:gridCol w:w="306"/>
        <w:gridCol w:w="307"/>
        <w:gridCol w:w="2160"/>
        <w:gridCol w:w="2160"/>
        <w:gridCol w:w="2165"/>
        <w:gridCol w:w="201"/>
        <w:gridCol w:w="201"/>
        <w:gridCol w:w="202"/>
        <w:gridCol w:w="245"/>
        <w:gridCol w:w="245"/>
        <w:gridCol w:w="246"/>
        <w:gridCol w:w="222"/>
        <w:gridCol w:w="222"/>
        <w:gridCol w:w="223"/>
        <w:gridCol w:w="345"/>
        <w:gridCol w:w="200"/>
        <w:gridCol w:w="207"/>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NO.</w:t>
            </w:r>
          </w:p>
        </w:tc>
        <w:tc>
          <w:tcPr>
            <w:tcW w:w="6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 File No.</w:t>
            </w:r>
          </w:p>
        </w:tc>
      </w:tr>
      <w:tr>
        <w:trPr/>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Agreement and Plan of Merger, dated as of January 3, 2024, by and among Registrant, Astro Comet Merger Sub Corp., and Callon Petroleum Company.</w:t>
              </w:r>
            </w:hyperlink>
          </w:p>
        </w:tc>
        <w:tc>
          <w:tcPr>
            <w:tcW w:w="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1/4/2024</w:t>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001-40144</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4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Amended and Restated Certificate of Incorporation of Registrant, dated March 1, 2021, as filed with the Secretary of State of the State of Delaware on March 1, 2021</w:t>
              </w:r>
            </w:hyperlink>
            <w:r>
              <w:rPr>
                <w:rFonts w:ascii="Times New Roman;sans-serif" w:hAnsi="Times New Roman;sans-serif"/>
                <w:b w:val="false"/>
                <w:color w:val="000000"/>
                <w:sz w:val="20"/>
              </w:rPr>
              <w:t>.</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8-K12B</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3/1/2021</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001-40144</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4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Certificate of Amendment of Amended and Restated Certificate of Incorporation of Registrant, dated May 24, 2023, as filed with the Secretary of State of the State of Delaware on May 24, 2023</w:t>
              </w:r>
            </w:hyperlink>
            <w:r>
              <w:rPr>
                <w:rFonts w:ascii="Times New Roman;sans-serif" w:hAnsi="Times New Roman;sans-serif"/>
                <w:b w:val="false"/>
                <w:color w:val="000000"/>
                <w:sz w:val="20"/>
              </w:rPr>
              <w:t>.</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5/25/2023</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001-40144</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64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Amended and Restated Bylaws of Registrant, dated February 2, 2023</w:t>
              </w:r>
            </w:hyperlink>
            <w:r>
              <w:rPr>
                <w:rFonts w:ascii="Times New Roman;sans-serif" w:hAnsi="Times New Roman;sans-serif"/>
                <w:b w:val="false"/>
                <w:color w:val="000000"/>
                <w:sz w:val="20"/>
              </w:rPr>
              <w:t>.</w:t>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2/8/2023</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001-40144</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64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pa2024q3-exhibit311.htm">
              <w:r>
                <w:rPr>
                  <w:rStyle w:val="InternetLink"/>
                  <w:rFonts w:ascii="Times New Roman;sans-serif" w:hAnsi="Times New Roman;sans-serif"/>
                  <w:b w:val="false"/>
                  <w:color w:val="0000FF"/>
                  <w:sz w:val="20"/>
                  <w:u w:val="single"/>
                </w:rPr>
                <w:t>Certification (pursuant to Rule 13a-14(a) or Rule 15d-14(a) of the Exchange Act) by Principal Executive Officer.</w:t>
              </w:r>
            </w:hyperlink>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64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pa2024q3-exhibit312.htm">
              <w:r>
                <w:rPr>
                  <w:rStyle w:val="InternetLink"/>
                  <w:rFonts w:ascii="Times New Roman;sans-serif" w:hAnsi="Times New Roman;sans-serif"/>
                  <w:b w:val="false"/>
                  <w:color w:val="0000FF"/>
                  <w:sz w:val="20"/>
                  <w:u w:val="single"/>
                </w:rPr>
                <w:t>Certification (pursuant to Rule 13a-14(a) or Rule 15d-14(a) of the Exchange Act) by Principal Financial Officer.</w:t>
              </w:r>
            </w:hyperlink>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64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pa2024q3-exhibit321.htm">
              <w:r>
                <w:rPr>
                  <w:rStyle w:val="InternetLink"/>
                  <w:rFonts w:ascii="Times New Roman;sans-serif" w:hAnsi="Times New Roman;sans-serif"/>
                  <w:b w:val="false"/>
                  <w:color w:val="0000FF"/>
                  <w:sz w:val="20"/>
                  <w:u w:val="single"/>
                </w:rPr>
                <w:t>Section 1350 Certification (pursuant to Sarbanes-Oxley Section 906) by Principal Executive Officer and Principal Financial Officer.</w:t>
              </w:r>
            </w:hyperlink>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4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from the Registrant's Quarterly Report on Form 10-Q for the quarter ended September 30, 2024, formatted in Inline XBRL: (i) Statement of Consolidated Operations, (ii) Statement of Consolidated Comprehensive Income (Loss), (iii) Statement of Consolidated Cash Flows, (iv) Consolidated Balance Sheet, (v) Statement of Consolidated Changes in Equity and Noncontrolling Interests and (vi) Notes to Consolidated Financial Statements, tagged as blocks of text and including detailed tags.</w:t>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64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Schema Document.</w:t>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64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Calculation Linkbase Document.</w:t>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64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Definition Linkbase Document.</w:t>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64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Label Linkbase Document.</w:t>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64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Presentation Linkbase Document.</w:t>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4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901" w:type="dxa"/>
        <w:jc w:val="left"/>
        <w:tblInd w:w="0" w:type="dxa"/>
        <w:tblLayout w:type="fixed"/>
        <w:tblCellMar>
          <w:top w:w="28" w:type="dxa"/>
          <w:left w:w="28" w:type="dxa"/>
          <w:bottom w:w="28" w:type="dxa"/>
          <w:right w:w="28" w:type="dxa"/>
        </w:tblCellMar>
      </w:tblPr>
      <w:tblGrid>
        <w:gridCol w:w="238"/>
        <w:gridCol w:w="210"/>
        <w:gridCol w:w="212"/>
        <w:gridCol w:w="534"/>
        <w:gridCol w:w="534"/>
        <w:gridCol w:w="536"/>
        <w:gridCol w:w="109"/>
        <w:gridCol w:w="109"/>
        <w:gridCol w:w="109"/>
        <w:gridCol w:w="1556"/>
        <w:gridCol w:w="1556"/>
        <w:gridCol w:w="2198"/>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 CORPORATION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J. RINEY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J. Riney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REBECCA A. HOYT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A. Hoyt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Accounting Officer, and Controller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J. Christmann IV,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77"/>
        <w:gridCol w:w="958"/>
        <w:gridCol w:w="958"/>
        <w:gridCol w:w="2328"/>
        <w:gridCol w:w="1856"/>
        <w:gridCol w:w="26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APA Corporation;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p>
      <w:pPr>
        <w:pStyle w:val="TextBody"/>
        <w:bidi w:val="0"/>
        <w:spacing w:before="0" w:after="0"/>
        <w:jc w:val="left"/>
        <w:rPr/>
      </w:pPr>
      <w:r>
        <w:rPr/>
      </w:r>
    </w:p>
    <w:tbl>
      <w:tblPr>
        <w:tblW w:w="2757" w:type="dxa"/>
        <w:jc w:val="left"/>
        <w:tblInd w:w="0" w:type="dxa"/>
        <w:tblLayout w:type="fixed"/>
        <w:tblCellMar>
          <w:top w:w="28" w:type="dxa"/>
          <w:left w:w="28" w:type="dxa"/>
          <w:bottom w:w="28" w:type="dxa"/>
          <w:right w:w="28" w:type="dxa"/>
        </w:tblCellMar>
      </w:tblPr>
      <w:tblGrid>
        <w:gridCol w:w="864"/>
        <w:gridCol w:w="758"/>
        <w:gridCol w:w="763"/>
        <w:gridCol w:w="109"/>
        <w:gridCol w:w="109"/>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J. Christmann 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J. Christmann 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Stephen J. Riney,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77"/>
        <w:gridCol w:w="958"/>
        <w:gridCol w:w="958"/>
        <w:gridCol w:w="2328"/>
        <w:gridCol w:w="1856"/>
        <w:gridCol w:w="26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APA Corporation;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p>
      <w:pPr>
        <w:pStyle w:val="TextBody"/>
        <w:bidi w:val="0"/>
        <w:spacing w:before="0" w:after="0"/>
        <w:jc w:val="left"/>
        <w:rPr/>
      </w:pPr>
      <w:r>
        <w:rPr/>
      </w:r>
    </w:p>
    <w:tbl>
      <w:tblPr>
        <w:tblW w:w="3491" w:type="dxa"/>
        <w:jc w:val="left"/>
        <w:tblInd w:w="0" w:type="dxa"/>
        <w:tblLayout w:type="fixed"/>
        <w:tblCellMar>
          <w:top w:w="28" w:type="dxa"/>
          <w:left w:w="28" w:type="dxa"/>
          <w:bottom w:w="28" w:type="dxa"/>
          <w:right w:w="28" w:type="dxa"/>
        </w:tblCellMar>
      </w:tblPr>
      <w:tblGrid>
        <w:gridCol w:w="1129"/>
        <w:gridCol w:w="993"/>
        <w:gridCol w:w="997"/>
        <w:gridCol w:w="109"/>
        <w:gridCol w:w="109"/>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J. Riney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J. Riney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APA CORPORATION</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Principal Financial Officer</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 John J. Christmann IV, certify pursuant to 18 U.S.C. Section 1350, as adopted pursuant to Section 906 of the Sarbanes-Oxley Act of 2002, that, to my knowledge, the quarterly report on Form 10-Q of APA Corporation for the quarterly period ending September 30, 2024, fully complies with the requirements of Section 13(a) or 15(d) of the Securities Exchange Act of 1934 (15 U.S.C. §78m or §78o (d)) and that information contained in such report fairly represents, in all material respects, the financial condition and results of operations of APA Corporation.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Date: November 7, 2024</w:t>
      </w:r>
    </w:p>
    <w:p>
      <w:pPr>
        <w:pStyle w:val="TextBody"/>
        <w:bidi w:val="0"/>
        <w:spacing w:before="0" w:after="0"/>
        <w:jc w:val="left"/>
        <w:rPr/>
      </w:pPr>
      <w:r>
        <w:rPr/>
      </w:r>
    </w:p>
    <w:tbl>
      <w:tblPr>
        <w:tblW w:w="4172" w:type="dxa"/>
        <w:jc w:val="left"/>
        <w:tblInd w:w="0" w:type="dxa"/>
        <w:tblLayout w:type="fixed"/>
        <w:tblCellMar>
          <w:top w:w="28" w:type="dxa"/>
          <w:left w:w="28" w:type="dxa"/>
          <w:bottom w:w="28" w:type="dxa"/>
          <w:right w:w="28" w:type="dxa"/>
        </w:tblCellMar>
      </w:tblPr>
      <w:tblGrid>
        <w:gridCol w:w="265"/>
        <w:gridCol w:w="233"/>
        <w:gridCol w:w="233"/>
        <w:gridCol w:w="233"/>
        <w:gridCol w:w="233"/>
        <w:gridCol w:w="233"/>
        <w:gridCol w:w="775"/>
        <w:gridCol w:w="775"/>
        <w:gridCol w:w="820"/>
        <w:gridCol w:w="109"/>
        <w:gridCol w:w="109"/>
        <w:gridCol w:w="154"/>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J. Christmann 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J. Christmann 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 Stephen J. Riney, certify pursuant to 18 U.S.C. Section 1350, as adopted pursuant to Section 906 of the Sarbanes-Oxley Act of 2002, that, to my knowledge, the quarterly report on Form 10-Q of APA Corporation for the quarterly period ending September 30, 2024, fully complies with the requirements of Section 13(a) or 15(d) of the Securities Exchange Act of 1934 (15 U.S.C. §78m or §78o (d)) and that information contained in such report fairly represents, in all material respects, the financial condition and results of operations of APA Corporation.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p>
      <w:pPr>
        <w:pStyle w:val="TextBody"/>
        <w:bidi w:val="0"/>
        <w:spacing w:before="0" w:after="0"/>
        <w:jc w:val="left"/>
        <w:rPr/>
      </w:pPr>
      <w:r>
        <w:rPr/>
      </w:r>
    </w:p>
    <w:tbl>
      <w:tblPr>
        <w:tblW w:w="4630" w:type="dxa"/>
        <w:jc w:val="left"/>
        <w:tblInd w:w="0" w:type="dxa"/>
        <w:tblLayout w:type="fixed"/>
        <w:tblCellMar>
          <w:top w:w="28" w:type="dxa"/>
          <w:left w:w="28" w:type="dxa"/>
          <w:bottom w:w="28" w:type="dxa"/>
          <w:right w:w="28" w:type="dxa"/>
        </w:tblCellMar>
      </w:tblPr>
      <w:tblGrid>
        <w:gridCol w:w="214"/>
        <w:gridCol w:w="188"/>
        <w:gridCol w:w="188"/>
        <w:gridCol w:w="188"/>
        <w:gridCol w:w="188"/>
        <w:gridCol w:w="188"/>
        <w:gridCol w:w="1033"/>
        <w:gridCol w:w="1033"/>
        <w:gridCol w:w="1038"/>
        <w:gridCol w:w="109"/>
        <w:gridCol w:w="109"/>
        <w:gridCol w:w="154"/>
      </w:tblGrid>
      <w:tr>
        <w:trPr/>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J. Riney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J. Riney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1666/000119312524002515/d680825dex21.htm" TargetMode="External"/><Relationship Id="rId3" Type="http://schemas.openxmlformats.org/officeDocument/2006/relationships/hyperlink" Target="https://www.sec.gov/Archives/edgar/data/1841666/000119312521063695/d127090dex31.htm" TargetMode="External"/><Relationship Id="rId4" Type="http://schemas.openxmlformats.org/officeDocument/2006/relationships/hyperlink" Target="https://www.sec.gov/Archives/edgar/data/1841666/000119312523154218/d466832dex31.htm" TargetMode="External"/><Relationship Id="rId5" Type="http://schemas.openxmlformats.org/officeDocument/2006/relationships/hyperlink" Target="https://www.sec.gov/Archives/edgar/data/1841666/000119312523028378/d462086dex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29232</Words>
  <Characters>159144</Characters>
  <CharactersWithSpaces>186681</CharactersWithSpaces>
  <Paragraphs>3605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