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1"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06"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 the transition period from _________ to 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1-4300</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APACHE CORPORATION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29" w:right="33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41-0747868</w:t>
      </w:r>
    </w:p>
    <w:p>
      <w:pPr>
        <w:spacing w:after="0" w:line="34"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1029" w:right="33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One Post Oak Central, 2000 Post Oak Boulevard, Suite 100, Houston, Texas 77056-4400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(713) 296-6000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12(b) of the Act: </w:t>
      </w:r>
      <w:r>
        <w:rPr>
          <w:rFonts w:ascii="Times New Roman" w:cs="Times New Roman" w:eastAsia="Times New Roman" w:hAnsi="Times New Roman"/>
          <w:sz w:val="16"/>
          <w:szCs w:val="16"/>
          <w:color w:val="auto"/>
        </w:rPr>
        <w:t>None</w:t>
      </w:r>
    </w:p>
    <w:p>
      <w:pPr>
        <w:spacing w:after="0" w:line="75"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The registrant is a voluntary filer of reports required to be filed by certain companies under Sections 13 or 15(d) of the Securities Exchange Act of 1934.</w:t>
      </w:r>
    </w:p>
    <w:p>
      <w:pPr>
        <w:spacing w:after="0" w:line="6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5"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Number of shares of registrant’s common stock outstanding as of April 30, 2024 (100% owned by APA Corporation)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OMISSION OF CERTAIN INFORMATION</w:t>
      </w:r>
    </w:p>
    <w:p>
      <w:pPr>
        <w:spacing w:after="0" w:line="61"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 meets the conditions set forth in General Instruction H(1)(a) and (b) of Form 10-Q and is therefore filing this Quarterly Report on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08"/>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6"/>
        </w:trPr>
        <w:tc>
          <w:tcPr>
            <w:tcW w:w="6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4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STATEMENT OF CONSOLIDATED OPERATIONS</w:t>
            </w:r>
          </w:p>
        </w:tc>
        <w:tc>
          <w:tcPr>
            <w:tcW w:w="14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STATEMENT OF CONSOLIDATED COMPREHENSIVE INCOME</w:t>
            </w:r>
          </w:p>
        </w:tc>
        <w:tc>
          <w:tcPr>
            <w:tcW w:w="14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rPr>
              <w:t>2</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STATEMENT OF CONSOLIDATED CASH FLOWS</w:t>
            </w:r>
          </w:p>
        </w:tc>
        <w:tc>
          <w:tcPr>
            <w:tcW w:w="1120" w:type="dxa"/>
            <w:vAlign w:val="bottom"/>
            <w:tcBorders>
              <w:top w:val="single" w:sz="8" w:color="0000FF"/>
            </w:tcBorders>
            <w:gridSpan w:val="2"/>
          </w:tcPr>
          <w:p>
            <w:pPr>
              <w:spacing w:after="0"/>
              <w:rPr>
                <w:sz w:val="21"/>
                <w:szCs w:val="21"/>
                <w:color w:val="auto"/>
              </w:rPr>
            </w:pPr>
          </w:p>
        </w:tc>
        <w:tc>
          <w:tcPr>
            <w:tcW w:w="3880" w:type="dxa"/>
            <w:vAlign w:val="bottom"/>
            <w:gridSpan w:val="4"/>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14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rPr>
              <w:t>4</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STATEMENT OF CONSOLIDATED CHANGES IN EQUITY AND NONCONTROLLING INTERESTS</w:t>
            </w:r>
          </w:p>
        </w:tc>
        <w:tc>
          <w:tcPr>
            <w:tcW w:w="14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7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NARRATIVE ANALYSIS OF RESULTS OF OPERATIONS</w:t>
            </w:r>
          </w:p>
        </w:tc>
        <w:tc>
          <w:tcPr>
            <w:tcW w:w="14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0000FF"/>
                <w:w w:val="99"/>
              </w:rPr>
              <w:t>21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1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840" w:type="dxa"/>
            <w:vAlign w:val="bottom"/>
            <w:gridSpan w:val="2"/>
          </w:tcPr>
          <w:p>
            <w:pPr>
              <w:spacing w:after="0"/>
              <w:rPr>
                <w:sz w:val="21"/>
                <w:szCs w:val="21"/>
                <w:color w:val="auto"/>
              </w:rPr>
            </w:pPr>
          </w:p>
        </w:tc>
        <w:tc>
          <w:tcPr>
            <w:tcW w:w="14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540" w:type="dxa"/>
            <w:vAlign w:val="bottom"/>
            <w:gridSpan w:val="7"/>
          </w:tcPr>
          <w:p>
            <w:pPr>
              <w:spacing w:after="0"/>
              <w:rPr>
                <w:sz w:val="21"/>
                <w:szCs w:val="21"/>
                <w:color w:val="auto"/>
              </w:rPr>
            </w:pPr>
          </w:p>
        </w:tc>
        <w:tc>
          <w:tcPr>
            <w:tcW w:w="2840" w:type="dxa"/>
            <w:vAlign w:val="bottom"/>
            <w:gridSpan w:val="2"/>
          </w:tcPr>
          <w:p>
            <w:pPr>
              <w:spacing w:after="0"/>
              <w:rPr>
                <w:sz w:val="21"/>
                <w:szCs w:val="21"/>
                <w:color w:val="auto"/>
              </w:rPr>
            </w:pPr>
          </w:p>
        </w:tc>
        <w:tc>
          <w:tcPr>
            <w:tcW w:w="14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506"/>
        </w:trPr>
        <w:tc>
          <w:tcPr>
            <w:tcW w:w="6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4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958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color w:val="0000FF"/>
              </w:rPr>
              <w:t>RISK FACTORS</w:t>
            </w:r>
          </w:p>
        </w:tc>
        <w:tc>
          <w:tcPr>
            <w:tcW w:w="14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40" w:type="dxa"/>
            <w:vAlign w:val="bottom"/>
            <w:gridSpan w:val="12"/>
          </w:tcPr>
          <w:p>
            <w:pPr>
              <w:spacing w:after="0"/>
              <w:rPr>
                <w:sz w:val="21"/>
                <w:szCs w:val="21"/>
                <w:color w:val="auto"/>
              </w:rPr>
            </w:pPr>
          </w:p>
        </w:tc>
        <w:tc>
          <w:tcPr>
            <w:tcW w:w="14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1"/>
                <w:szCs w:val="21"/>
                <w:color w:val="auto"/>
              </w:rPr>
            </w:pPr>
          </w:p>
        </w:tc>
      </w:tr>
      <w:tr>
        <w:trPr>
          <w:trHeight w:val="1013"/>
        </w:trPr>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RISKS</w:t>
      </w:r>
    </w:p>
    <w:p>
      <w:pPr>
        <w:spacing w:after="0" w:line="18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Company’s examination of historical operating trends, the information that was used to prepare its estimate of proved reserves as of December 31, 2023,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spacing w:after="0" w:line="82"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regional, national, and international economic conditions, including as a result of any epidemics or pandemics, such as the coronavirus disease (COVID-19) pandemic and any related variants;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oil, natural gas, natural gas liquids (NGLs), and other products or services, including the prices received for natural gas purchased from third parties to sell and deliver to a U.S. LNG export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commodity hedging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oil, natural gas, NGLs, and other products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risks;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legislation;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pressure and the influence of environmental groups and other stakeholders on decisions and policies related to the industries in which the Company and its affiliates operate;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initiatives addressing the impact of global climate change or further regulating hydraulic fracturing, methane emissions, flaring, or water disposal;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on environmental, social, and governance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terrorism;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access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market-related risks, such as general credit, liquidity, and interest-rate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and hire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acquisitions or divestitures;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Items 1 and 2—Business and Properties—Estimated Proved Reserves and Future Net Cash Flows, Item 1A—Risk Factors, Item 7—Management’s Narrative Analysis of Results of Operations, Item 7A—Quantitative and Qualitative Disclosures About Market Risk and elsewhere in the Company’s Annual Report on Form 10-K for the fiscal year ended December 31, 2023;</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APA Corporation’s first-quarter 2024 earnings release;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II, </w:t>
      </w:r>
      <w:r>
        <w:rPr>
          <w:rFonts w:ascii="Times New Roman" w:cs="Times New Roman" w:eastAsia="Times New Roman" w:hAnsi="Times New Roman"/>
          <w:sz w:val="18"/>
          <w:szCs w:val="18"/>
          <w:u w:val="single" w:color="auto"/>
          <w:color w:val="0000FF"/>
        </w:rPr>
        <w:t>Item 1A—Risk Factors</w:t>
      </w:r>
      <w:r>
        <w:rPr>
          <w:rFonts w:ascii="Times New Roman" w:cs="Times New Roman" w:eastAsia="Times New Roman" w:hAnsi="Times New Roman"/>
          <w:sz w:val="18"/>
          <w:szCs w:val="18"/>
          <w:color w:val="auto"/>
        </w:rPr>
        <w:t xml:space="preserve"> of this Quarterly Report on Form 10-Q;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other filings that the Company makes with the Securities and Exchange Commission.</w:t>
      </w:r>
    </w:p>
    <w:p>
      <w:pPr>
        <w:spacing w:after="0" w:line="18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212529"/>
        </w:rPr>
        <w:t>DEFINITIONS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All defined terms under Rule 4-10(a) of Regulation S-X shall have their statutorily prescribed meanings when used in this Quarterly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10-Q. As used herein: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“3-D” means three-dimensional.</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“4-D” means four-dimensional.</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“b/d” means barrels of oil or NGLs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“bbl” or “bbls” means barrel or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“bcf” means billion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“bcf/d” means one bcf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“boe” means barrel of oil equivalent, determined by using the ratio of one barrel of oil or NGLs to six Mcf of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“boe/d” means 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“Btu” means a British thermal unit, a measure of heating value.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“Liquids” means oil and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“LNG” means liquefied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“Mb/d” means Mbbls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“Mbbls” means thousand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“Mboe” means thousand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“Mboe/d” means Mboe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“Mcf” means thousand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“Mcf/d” means Mcf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“MMbbls” means million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“MMboe” means million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“MMBtu” means million Btu.</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“MMBtu/d” means MMBtu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“MMcf” means million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“MMcf/d” means MMcf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“NGL” or “NGLs” means natural gas liquids, which are expressed in barrels.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“NYMEX” means New York Mercantile Exchange.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“oil” includes crude oil and condensate.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“PUD” means proved undeveloped.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“SEC”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“Tcf” means trillion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“U.K.” means United Kingdom.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“U.S.” means United States.</w:t>
      </w:r>
    </w:p>
    <w:p>
      <w:pPr>
        <w:spacing w:after="0" w:line="19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212529"/>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212529"/>
        </w:rPr>
        <w:t>References to “Apache,” the “Company,” “we,” “us,” and “our” refer to Apache Corporation and its consolidated subsidiaries, unless otherwise specifically stated. References to “APA” refer to APA Corporation, the Company’s parent holding company, and its consolidated subsidiaries, including the Company, unless otherwise specifically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420" w:type="dxa"/>
            <w:vAlign w:val="bottom"/>
          </w:tcPr>
          <w:p>
            <w:pPr>
              <w:jc w:val="center"/>
              <w:ind w:left="2699"/>
              <w:spacing w:after="0"/>
              <w:rPr>
                <w:sz w:val="20"/>
                <w:szCs w:val="20"/>
                <w:color w:val="auto"/>
              </w:rPr>
            </w:pPr>
            <w:r>
              <w:rPr>
                <w:rFonts w:ascii="Times New Roman" w:cs="Times New Roman" w:eastAsia="Times New Roman" w:hAnsi="Times New Roman"/>
                <w:sz w:val="16"/>
                <w:szCs w:val="16"/>
                <w:b w:val="1"/>
                <w:bCs w:val="1"/>
                <w:color w:val="auto"/>
              </w:rPr>
              <w:t>APACHE CORPORATION AND SUBSIDIARIES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8420" w:type="dxa"/>
            <w:vAlign w:val="bottom"/>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w w:val="99"/>
              </w:rPr>
              <w:t>STATEMENT OF CONSOLIDATED OPERATIONS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8420" w:type="dxa"/>
            <w:vAlign w:val="bottom"/>
          </w:tcPr>
          <w:p>
            <w:pPr>
              <w:jc w:val="center"/>
              <w:ind w:left="26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2"/>
        </w:trPr>
        <w:tc>
          <w:tcPr>
            <w:tcW w:w="8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4"/>
          </w:tcPr>
          <w:p>
            <w:pPr>
              <w:jc w:val="right"/>
              <w:ind w:right="499"/>
              <w:spacing w:after="0" w:line="181" w:lineRule="exact"/>
              <w:rPr>
                <w:sz w:val="20"/>
                <w:szCs w:val="20"/>
                <w:color w:val="auto"/>
              </w:rPr>
            </w:pPr>
            <w:r>
              <w:rPr>
                <w:rFonts w:ascii="Times New Roman" w:cs="Times New Roman" w:eastAsia="Times New Roman" w:hAnsi="Times New Roman"/>
                <w:sz w:val="16"/>
                <w:szCs w:val="16"/>
                <w:b w:val="1"/>
                <w:bCs w:val="1"/>
                <w:color w:val="auto"/>
              </w:rPr>
              <w:t>For the Quarter Ended</w:t>
            </w:r>
          </w:p>
        </w:tc>
      </w:tr>
      <w:tr>
        <w:trPr>
          <w:trHeight w:val="214"/>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r>
      <w:tr>
        <w:trPr>
          <w:trHeight w:val="209"/>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8"/>
                <w:szCs w:val="18"/>
                <w:color w:val="auto"/>
              </w:rPr>
            </w:pPr>
          </w:p>
        </w:tc>
      </w:tr>
      <w:tr>
        <w:trPr>
          <w:trHeight w:val="23"/>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AND OTHER: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4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Oil, natural gas, and natural gas liquids production revenues</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16"/>
        </w:trPr>
        <w:tc>
          <w:tcPr>
            <w:tcW w:w="84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Purchased oil and gas sales</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divestitures,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previously sold Gulf of Mexico properties</w:t>
            </w:r>
          </w:p>
        </w:tc>
        <w:tc>
          <w:tcPr>
            <w:tcW w:w="300" w:type="dxa"/>
            <w:vAlign w:val="bottom"/>
          </w:tcPr>
          <w:p>
            <w:pPr>
              <w:spacing w:after="0"/>
              <w:rPr>
                <w:sz w:val="18"/>
                <w:szCs w:val="18"/>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9"/>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w:t>
            </w:r>
          </w:p>
        </w:tc>
      </w:tr>
      <w:tr>
        <w:trPr>
          <w:trHeight w:val="19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84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Lease operating expenses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6"/>
        </w:trPr>
        <w:tc>
          <w:tcPr>
            <w:tcW w:w="84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Gathering, processing, and transmission</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6"/>
        </w:trPr>
        <w:tc>
          <w:tcPr>
            <w:tcW w:w="84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Purchased oil and gas costs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6"/>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Exploration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costs,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1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income tax provision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7"/>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 – Sinopec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 – APA Corporation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APACHE CORPORATION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60" w:hanging="252"/>
        <w:spacing w:after="0" w:line="302" w:lineRule="auto"/>
        <w:tabs>
          <w:tab w:leader="none" w:pos="37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transactions with Kinetik prior to the Company’s sale of its remaining shares of Kinetik Class A Common Stock and the resignation of the Company’s designated director from the Kinetik board of directors, refer to </w:t>
      </w:r>
      <w:r>
        <w:rPr>
          <w:rFonts w:ascii="Times New Roman" w:cs="Times New Roman" w:eastAsia="Times New Roman" w:hAnsi="Times New Roman"/>
          <w:sz w:val="14"/>
          <w:szCs w:val="14"/>
          <w:u w:val="single" w:color="auto"/>
          <w:color w:val="0000FF"/>
        </w:rPr>
        <w:t>Note 6—Equity Method Interests</w:t>
      </w:r>
      <w:r>
        <w:rPr>
          <w:rFonts w:ascii="Times New Roman" w:cs="Times New Roman" w:eastAsia="Times New Roman" w:hAnsi="Times New Roman"/>
          <w:sz w:val="14"/>
          <w:szCs w:val="14"/>
          <w:color w:val="auto"/>
        </w:rPr>
        <w: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ind w:left="3860"/>
        <w:spacing w:after="0"/>
        <w:rPr>
          <w:sz w:val="20"/>
          <w:szCs w:val="20"/>
          <w:color w:val="auto"/>
        </w:rPr>
      </w:pPr>
      <w:r>
        <w:rPr>
          <w:rFonts w:ascii="Times New Roman" w:cs="Times New Roman" w:eastAsia="Times New Roman" w:hAnsi="Times New Roman"/>
          <w:sz w:val="16"/>
          <w:szCs w:val="16"/>
          <w:b w:val="1"/>
          <w:bCs w:val="1"/>
          <w:color w:val="auto"/>
        </w:rPr>
        <w:t>APACHE CORPORATION AND SUBSIDIARIES</w:t>
      </w:r>
    </w:p>
    <w:p>
      <w:pPr>
        <w:spacing w:after="0" w:line="2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STATEMENT OF CONSOLIDATED COMPREHENSIVE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9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r>
      <w:tr>
        <w:trPr>
          <w:trHeight w:val="215"/>
        </w:trPr>
        <w:tc>
          <w:tcPr>
            <w:tcW w:w="9180" w:type="dxa"/>
            <w:vAlign w:val="bottom"/>
          </w:tcPr>
          <w:p>
            <w:pPr>
              <w:spacing w:after="0"/>
              <w:rPr>
                <w:sz w:val="18"/>
                <w:szCs w:val="18"/>
                <w:color w:val="auto"/>
              </w:rPr>
            </w:pPr>
          </w:p>
        </w:tc>
        <w:tc>
          <w:tcPr>
            <w:tcW w:w="174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r>
      <w:tr>
        <w:trPr>
          <w:trHeight w:val="23"/>
        </w:trPr>
        <w:tc>
          <w:tcPr>
            <w:tcW w:w="9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318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305</w:t>
            </w:r>
          </w:p>
        </w:tc>
      </w:tr>
      <w:tr>
        <w:trPr>
          <w:trHeight w:val="21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benefit plan</w:t>
            </w:r>
          </w:p>
        </w:tc>
        <w:tc>
          <w:tcPr>
            <w:tcW w:w="6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INCLUDING NONCONTROLLING INTERESTS</w:t>
            </w: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318</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308</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 – Sinopec</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9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 – APA Corporation</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102</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4"/>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APACHE CORPORATION</w:t>
            </w: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136</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 w:name="page8"/>
    <w:bookmarkEnd w:id="7"/>
    <w:p>
      <w:pPr>
        <w:ind w:left="3860"/>
        <w:spacing w:after="0"/>
        <w:rPr>
          <w:sz w:val="20"/>
          <w:szCs w:val="20"/>
          <w:color w:val="auto"/>
        </w:rPr>
      </w:pPr>
      <w:r>
        <w:rPr>
          <w:rFonts w:ascii="Times New Roman" w:cs="Times New Roman" w:eastAsia="Times New Roman" w:hAnsi="Times New Roman"/>
          <w:sz w:val="16"/>
          <w:szCs w:val="16"/>
          <w:b w:val="1"/>
          <w:bCs w:val="1"/>
          <w:color w:val="auto"/>
        </w:rPr>
        <w:t>APACHE CORPORATION AND SUBSIDIARIES</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STATEMENT OF CONSOLIDATED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8"/>
                <w:szCs w:val="18"/>
                <w:color w:val="auto"/>
              </w:rPr>
            </w:pPr>
          </w:p>
        </w:tc>
      </w:tr>
      <w:tr>
        <w:trPr>
          <w:trHeight w:val="23"/>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including noncontrolling interests</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Gain on divestitures, net</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Exploratory dry hole expense and unproved leasehold impairments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 depletion, and amortization</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Asset retirement obligation accretion</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Loss on previously sold Gulf of Mexico properties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net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Receivables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Inventories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Drilling advances and other current assets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charges and other long-term assets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Accounts payable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Accounts receivable from/payable to APA Corporation</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Accrued expenses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w:t>
            </w:r>
          </w:p>
        </w:tc>
      </w:tr>
      <w:tr>
        <w:trPr>
          <w:trHeight w:val="200"/>
        </w:trPr>
        <w:tc>
          <w:tcPr>
            <w:tcW w:w="8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Deferred credits and noncurrent liabilities</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98"/>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r>
      <w:tr>
        <w:trPr>
          <w:trHeight w:val="200"/>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Additions to upstream oil and gas property</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Leasehold and property acquisitions</w:t>
            </w:r>
          </w:p>
        </w:tc>
        <w:tc>
          <w:tcPr>
            <w:tcW w:w="9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APA Corporation</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asset divestitures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 of Kinetik Shares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net</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8"/>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w:t>
            </w:r>
          </w:p>
        </w:tc>
      </w:tr>
      <w:tr>
        <w:trPr>
          <w:trHeight w:val="200"/>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Apache credit facility, net</w:t>
            </w: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on fixed-rate debt</w:t>
            </w:r>
          </w:p>
        </w:tc>
        <w:tc>
          <w:tcPr>
            <w:tcW w:w="9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to noncontrolling interest – Sinopec</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Distributions to APA Corporation</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net</w:t>
            </w: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4"/>
        </w:trPr>
        <w:tc>
          <w:tcPr>
            <w:tcW w:w="8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9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18"/>
        </w:trPr>
        <w:tc>
          <w:tcPr>
            <w:tcW w:w="8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0"/>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0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8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0"/>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SUPPLEMENTARY CASH FLOW DATA:</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paid, net of capitalized interest</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198"/>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paid, net of refunds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8" w:name="page9"/>
    <w:bookmarkEnd w:id="8"/>
    <w:p>
      <w:pPr>
        <w:ind w:left="3860"/>
        <w:spacing w:after="0"/>
        <w:rPr>
          <w:sz w:val="20"/>
          <w:szCs w:val="20"/>
          <w:color w:val="auto"/>
        </w:rPr>
      </w:pPr>
      <w:r>
        <w:rPr>
          <w:rFonts w:ascii="Times New Roman" w:cs="Times New Roman" w:eastAsia="Times New Roman" w:hAnsi="Times New Roman"/>
          <w:sz w:val="16"/>
          <w:szCs w:val="16"/>
          <w:b w:val="1"/>
          <w:bCs w:val="1"/>
          <w:color w:val="auto"/>
        </w:rPr>
        <w:t>APACHE CORPORATION AND SUBSIDIARIES</w:t>
      </w:r>
    </w:p>
    <w:p>
      <w:pPr>
        <w:spacing w:after="0" w:line="2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0" w:type="dxa"/>
            <w:vAlign w:val="bottom"/>
            <w:gridSpan w:val="5"/>
            <w:shd w:val="clear" w:color="auto" w:fill="CCEEFF"/>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460" w:type="dxa"/>
            <w:vAlign w:val="bottom"/>
            <w:gridSpan w:val="24"/>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$110 and $114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178"/>
        </w:trPr>
        <w:tc>
          <w:tcPr>
            <w:tcW w:w="8460" w:type="dxa"/>
            <w:vAlign w:val="bottom"/>
            <w:gridSpan w:val="24"/>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Other current assets (</w:t>
            </w:r>
            <w:r>
              <w:rPr>
                <w:rFonts w:ascii="Times New Roman" w:cs="Times New Roman" w:eastAsia="Times New Roman" w:hAnsi="Times New Roman"/>
                <w:sz w:val="16"/>
                <w:szCs w:val="16"/>
                <w:color w:val="0000FF"/>
              </w:rPr>
              <w:t>Note 5</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725</w:t>
            </w: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24"/>
          </w:tcPr>
          <w:p>
            <w:pPr>
              <w:ind w:left="140"/>
              <w:spacing w:after="0" w:line="175" w:lineRule="exact"/>
              <w:rPr>
                <w:sz w:val="20"/>
                <w:szCs w:val="20"/>
                <w:color w:val="auto"/>
              </w:rPr>
            </w:pPr>
            <w:r>
              <w:rPr>
                <w:rFonts w:ascii="Times New Roman" w:cs="Times New Roman" w:eastAsia="Times New Roman" w:hAnsi="Times New Roman"/>
                <w:sz w:val="16"/>
                <w:szCs w:val="16"/>
                <w:color w:val="auto"/>
              </w:rPr>
              <w:t>Accounts receivable from APA Corporation (</w:t>
            </w:r>
            <w:r>
              <w:rPr>
                <w:rFonts w:ascii="Times New Roman" w:cs="Times New Roman" w:eastAsia="Times New Roman" w:hAnsi="Times New Roman"/>
                <w:sz w:val="16"/>
                <w:szCs w:val="16"/>
                <w:color w:val="0000FF"/>
              </w:rPr>
              <w:t>Note 2</w:t>
            </w: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52</w:t>
            </w:r>
          </w:p>
        </w:tc>
      </w:tr>
      <w:tr>
        <w:trPr>
          <w:trHeight w:val="21"/>
        </w:trPr>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220" w:type="dxa"/>
            <w:vAlign w:val="bottom"/>
            <w:tcBorders>
              <w:top w:val="single" w:sz="8" w:color="0000FF"/>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193"/>
        </w:trPr>
        <w:tc>
          <w:tcPr>
            <w:tcW w:w="846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Oil and gas properties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43,349</w:t>
            </w:r>
          </w:p>
        </w:tc>
      </w:tr>
      <w:tr>
        <w:trPr>
          <w:trHeight w:val="213"/>
        </w:trPr>
        <w:tc>
          <w:tcPr>
            <w:tcW w:w="8460" w:type="dxa"/>
            <w:vAlign w:val="bottom"/>
            <w:gridSpan w:val="24"/>
          </w:tcPr>
          <w:p>
            <w:pPr>
              <w:ind w:left="140"/>
              <w:spacing w:after="0"/>
              <w:rPr>
                <w:sz w:val="20"/>
                <w:szCs w:val="20"/>
                <w:color w:val="auto"/>
              </w:rPr>
            </w:pPr>
            <w:r>
              <w:rPr>
                <w:rFonts w:ascii="Times New Roman" w:cs="Times New Roman" w:eastAsia="Times New Roman" w:hAnsi="Times New Roman"/>
                <w:sz w:val="16"/>
                <w:szCs w:val="16"/>
                <w:color w:val="auto"/>
              </w:rPr>
              <w:t>Gathering, processing, and transmission facilities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3"/>
        </w:trPr>
        <w:tc>
          <w:tcPr>
            <w:tcW w:w="8460" w:type="dxa"/>
            <w:vAlign w:val="bottom"/>
            <w:tcBorders>
              <w:bottom w:val="single" w:sz="8" w:color="CCEEFF"/>
            </w:tcBorders>
            <w:gridSpan w:val="24"/>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depletion, and amortization</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(35,707)</w:t>
            </w:r>
          </w:p>
        </w:tc>
      </w:tr>
      <w:tr>
        <w:trPr>
          <w:trHeight w:val="212"/>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w:t>
            </w:r>
          </w:p>
        </w:tc>
      </w:tr>
      <w:tr>
        <w:trPr>
          <w:trHeight w:val="193"/>
        </w:trPr>
        <w:tc>
          <w:tcPr>
            <w:tcW w:w="846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8460" w:type="dxa"/>
            <w:vAlign w:val="bottom"/>
            <w:gridSpan w:val="24"/>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Equity method interests (</w:t>
            </w:r>
            <w:r>
              <w:rPr>
                <w:rFonts w:ascii="Times New Roman" w:cs="Times New Roman" w:eastAsia="Times New Roman" w:hAnsi="Times New Roman"/>
                <w:sz w:val="16"/>
                <w:szCs w:val="16"/>
                <w:color w:val="0000FF"/>
              </w:rPr>
              <w:t>Note 6</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437</w:t>
            </w: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60" w:type="dxa"/>
            <w:vAlign w:val="bottom"/>
            <w:gridSpan w:val="24"/>
          </w:tcPr>
          <w:p>
            <w:pPr>
              <w:ind w:left="140"/>
              <w:spacing w:after="0" w:line="175" w:lineRule="exact"/>
              <w:rPr>
                <w:sz w:val="20"/>
                <w:szCs w:val="20"/>
                <w:color w:val="auto"/>
              </w:rPr>
            </w:pPr>
            <w:r>
              <w:rPr>
                <w:rFonts w:ascii="Times New Roman" w:cs="Times New Roman" w:eastAsia="Times New Roman" w:hAnsi="Times New Roman"/>
                <w:sz w:val="16"/>
                <w:szCs w:val="16"/>
                <w:color w:val="auto"/>
              </w:rPr>
              <w:t>Decommissioning security for sold Gulf of Mexico properties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6"/>
        </w:trPr>
        <w:tc>
          <w:tcPr>
            <w:tcW w:w="8460" w:type="dxa"/>
            <w:vAlign w:val="bottom"/>
            <w:gridSpan w:val="24"/>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Deferred tax asset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1,747</w:t>
            </w: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8460" w:type="dxa"/>
            <w:vAlign w:val="bottom"/>
            <w:gridSpan w:val="24"/>
          </w:tcPr>
          <w:p>
            <w:pPr>
              <w:ind w:left="14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178"/>
        </w:trPr>
        <w:tc>
          <w:tcPr>
            <w:tcW w:w="8460" w:type="dxa"/>
            <w:vAlign w:val="bottom"/>
            <w:gridSpan w:val="24"/>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Noncurrent receivable from APA Corporation (</w:t>
            </w:r>
            <w:r>
              <w:rPr>
                <w:rFonts w:ascii="Times New Roman" w:cs="Times New Roman" w:eastAsia="Times New Roman" w:hAnsi="Times New Roman"/>
                <w:sz w:val="16"/>
                <w:szCs w:val="16"/>
                <w:color w:val="0000FF"/>
              </w:rPr>
              <w:t>Note 2</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93</w:t>
            </w: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24"/>
          </w:tcPr>
          <w:p>
            <w:pPr>
              <w:ind w:left="140"/>
              <w:spacing w:after="0" w:line="175" w:lineRule="exact"/>
              <w:rPr>
                <w:sz w:val="20"/>
                <w:szCs w:val="20"/>
                <w:color w:val="auto"/>
              </w:rPr>
            </w:pPr>
            <w:r>
              <w:rPr>
                <w:rFonts w:ascii="Times New Roman" w:cs="Times New Roman" w:eastAsia="Times New Roman" w:hAnsi="Times New Roman"/>
                <w:sz w:val="16"/>
                <w:szCs w:val="16"/>
                <w:color w:val="auto"/>
              </w:rPr>
              <w:t>Notes receivable from APA Corporation (</w:t>
            </w:r>
            <w:r>
              <w:rPr>
                <w:rFonts w:ascii="Times New Roman" w:cs="Times New Roman" w:eastAsia="Times New Roman" w:hAnsi="Times New Roman"/>
                <w:sz w:val="16"/>
                <w:szCs w:val="16"/>
                <w:color w:val="0000FF"/>
              </w:rPr>
              <w:t>Note 2</w:t>
            </w: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2,980</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0000FF"/>
              <w:bottom w:val="single" w:sz="8" w:color="CCEEFF"/>
            </w:tcBorders>
          </w:tcPr>
          <w:p>
            <w:pPr>
              <w:spacing w:after="0" w:line="20" w:lineRule="exact"/>
              <w:rPr>
                <w:sz w:val="1"/>
                <w:szCs w:val="1"/>
                <w:color w:val="auto"/>
              </w:rPr>
            </w:pPr>
          </w:p>
        </w:tc>
        <w:tc>
          <w:tcPr>
            <w:tcW w:w="14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2"/>
        </w:trPr>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700" w:type="dxa"/>
            <w:vAlign w:val="bottom"/>
            <w:gridSpan w:val="19"/>
            <w:shd w:val="clear" w:color="auto" w:fill="CCEEFF"/>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LIABILITIES, NONCONTROLLING INTERESTS, AND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3"/>
        </w:trPr>
        <w:tc>
          <w:tcPr>
            <w:tcW w:w="8460" w:type="dxa"/>
            <w:vAlign w:val="bottom"/>
            <w:gridSpan w:val="24"/>
          </w:tcPr>
          <w:p>
            <w:pPr>
              <w:ind w:left="140"/>
              <w:spacing w:after="0"/>
              <w:rPr>
                <w:sz w:val="20"/>
                <w:szCs w:val="20"/>
                <w:color w:val="auto"/>
              </w:rPr>
            </w:pPr>
            <w:r>
              <w:rPr>
                <w:rFonts w:ascii="Times New Roman" w:cs="Times New Roman" w:eastAsia="Times New Roman" w:hAnsi="Times New Roman"/>
                <w:sz w:val="16"/>
                <w:szCs w:val="16"/>
                <w:color w:val="auto"/>
              </w:rPr>
              <w:t>Current debt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460" w:type="dxa"/>
            <w:vAlign w:val="bottom"/>
            <w:gridSpan w:val="24"/>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Other current liabilities (</w:t>
            </w:r>
            <w:r>
              <w:rPr>
                <w:rFonts w:ascii="Times New Roman" w:cs="Times New Roman" w:eastAsia="Times New Roman" w:hAnsi="Times New Roman"/>
                <w:sz w:val="16"/>
                <w:szCs w:val="16"/>
                <w:color w:val="0000FF"/>
              </w:rPr>
              <w:t>Note 7</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1,669</w:t>
            </w:r>
          </w:p>
        </w:tc>
      </w:tr>
      <w:tr>
        <w:trPr>
          <w:trHeight w:val="207"/>
        </w:trPr>
        <w:tc>
          <w:tcPr>
            <w:tcW w:w="14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0000FF"/>
              <w:bottom w:val="single" w:sz="8" w:color="CCEEFF"/>
            </w:tcBorders>
          </w:tcPr>
          <w:p>
            <w:pPr>
              <w:spacing w:after="0"/>
              <w:rPr>
                <w:sz w:val="17"/>
                <w:szCs w:val="17"/>
                <w:color w:val="auto"/>
              </w:rPr>
            </w:pPr>
          </w:p>
        </w:tc>
        <w:tc>
          <w:tcPr>
            <w:tcW w:w="4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100" w:type="dxa"/>
            <w:vAlign w:val="bottom"/>
            <w:tcBorders>
              <w:top w:val="single" w:sz="8" w:color="0000FF"/>
              <w:bottom w:val="single" w:sz="8" w:color="CCEEFF"/>
            </w:tcBorders>
          </w:tcPr>
          <w:p>
            <w:pPr>
              <w:spacing w:after="0"/>
              <w:rPr>
                <w:sz w:val="17"/>
                <w:szCs w:val="17"/>
                <w:color w:val="auto"/>
              </w:rPr>
            </w:pPr>
          </w:p>
        </w:tc>
        <w:tc>
          <w:tcPr>
            <w:tcW w:w="8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44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58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344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w:t>
            </w:r>
          </w:p>
        </w:tc>
      </w:tr>
      <w:tr>
        <w:trPr>
          <w:trHeight w:val="158"/>
        </w:trPr>
        <w:tc>
          <w:tcPr>
            <w:tcW w:w="8460" w:type="dxa"/>
            <w:vAlign w:val="bottom"/>
            <w:gridSpan w:val="24"/>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color w:val="auto"/>
              </w:rPr>
              <w:t>LONG-TERM DEBT (</w:t>
            </w:r>
            <w:r>
              <w:rPr>
                <w:rFonts w:ascii="Times New Roman" w:cs="Times New Roman" w:eastAsia="Times New Roman" w:hAnsi="Times New Roman"/>
                <w:sz w:val="16"/>
                <w:szCs w:val="16"/>
                <w:color w:val="0000FF"/>
              </w:rPr>
              <w:t>Note 9</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4,813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4,814</w:t>
            </w:r>
          </w:p>
        </w:tc>
      </w:tr>
      <w:tr>
        <w:trPr>
          <w:trHeight w:val="34"/>
        </w:trPr>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114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bottom w:val="single" w:sz="8" w:color="auto"/>
            </w:tcBorders>
            <w:shd w:val="clear" w:color="auto" w:fill="CCEEFF"/>
          </w:tcPr>
          <w:p>
            <w:pPr>
              <w:spacing w:after="0"/>
              <w:rPr>
                <w:sz w:val="2"/>
                <w:szCs w:val="2"/>
                <w:color w:val="auto"/>
              </w:rPr>
            </w:pPr>
          </w:p>
        </w:tc>
        <w:tc>
          <w:tcPr>
            <w:tcW w:w="1180" w:type="dxa"/>
            <w:vAlign w:val="bottom"/>
            <w:tcBorders>
              <w:top w:val="single" w:sz="8" w:color="CCEEFF"/>
              <w:bottom w:val="single" w:sz="8" w:color="auto"/>
            </w:tcBorders>
            <w:shd w:val="clear" w:color="auto" w:fill="CCEEFF"/>
          </w:tcPr>
          <w:p>
            <w:pPr>
              <w:spacing w:after="0"/>
              <w:rPr>
                <w:sz w:val="2"/>
                <w:szCs w:val="2"/>
                <w:color w:val="auto"/>
              </w:rPr>
            </w:pPr>
          </w:p>
        </w:tc>
      </w:tr>
      <w:tr>
        <w:trPr>
          <w:trHeight w:val="193"/>
        </w:trPr>
        <w:tc>
          <w:tcPr>
            <w:tcW w:w="846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auto"/>
              </w:rPr>
              <w:t>DEFERRED CREDITS AND OTHER NONCURRENT LIABILITIES: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8460" w:type="dxa"/>
            <w:vAlign w:val="bottom"/>
            <w:gridSpan w:val="24"/>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Deferred tax liability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371</w:t>
            </w: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24"/>
          </w:tcPr>
          <w:p>
            <w:pPr>
              <w:ind w:left="140"/>
              <w:spacing w:after="0" w:line="175" w:lineRule="exact"/>
              <w:rPr>
                <w:sz w:val="20"/>
                <w:szCs w:val="20"/>
                <w:color w:val="auto"/>
              </w:rPr>
            </w:pPr>
            <w:r>
              <w:rPr>
                <w:rFonts w:ascii="Times New Roman" w:cs="Times New Roman" w:eastAsia="Times New Roman" w:hAnsi="Times New Roman"/>
                <w:sz w:val="16"/>
                <w:szCs w:val="16"/>
                <w:color w:val="auto"/>
              </w:rPr>
              <w:t>Asset retirement obligation (</w:t>
            </w:r>
            <w:r>
              <w:rPr>
                <w:rFonts w:ascii="Times New Roman" w:cs="Times New Roman" w:eastAsia="Times New Roman" w:hAnsi="Times New Roman"/>
                <w:sz w:val="16"/>
                <w:szCs w:val="16"/>
                <w:color w:val="0000FF"/>
              </w:rPr>
              <w:t>Note 8</w:t>
            </w: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2,354</w:t>
            </w: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460" w:type="dxa"/>
            <w:vAlign w:val="bottom"/>
            <w:gridSpan w:val="24"/>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Decommissioning contingency for sold Gulf of Mexico properties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764</w:t>
            </w:r>
          </w:p>
        </w:tc>
      </w:tr>
      <w:tr>
        <w:trPr>
          <w:trHeight w:val="213"/>
        </w:trPr>
        <w:tc>
          <w:tcPr>
            <w:tcW w:w="4520" w:type="dxa"/>
            <w:vAlign w:val="bottom"/>
            <w:tcBorders>
              <w:top w:val="single" w:sz="8" w:color="CCEEFF"/>
              <w:bottom w:val="single" w:sz="8" w:color="CCEEFF"/>
            </w:tcBorders>
            <w:gridSpan w:val="21"/>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top w:val="single" w:sz="8" w:color="0000FF"/>
              <w:bottom w:val="single" w:sz="8" w:color="CCEEFF"/>
            </w:tcBorders>
            <w:gridSpan w:val="2"/>
          </w:tcPr>
          <w:p>
            <w:pPr>
              <w:spacing w:after="0"/>
              <w:rPr>
                <w:sz w:val="18"/>
                <w:szCs w:val="18"/>
                <w:color w:val="auto"/>
              </w:rPr>
            </w:pPr>
          </w:p>
        </w:tc>
        <w:tc>
          <w:tcPr>
            <w:tcW w:w="34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spacing w:after="0"/>
              <w:rPr>
                <w:sz w:val="18"/>
                <w:szCs w:val="18"/>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2"/>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r>
      <w:tr>
        <w:trPr>
          <w:trHeight w:val="193"/>
        </w:trPr>
        <w:tc>
          <w:tcPr>
            <w:tcW w:w="846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$0.625 par, 1,000 and 1,000 shares authorized, respectively, 1,000 and 1,000 shares issued, respectively</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60" w:type="dxa"/>
            <w:vAlign w:val="bottom"/>
            <w:gridSpan w:val="24"/>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w:t>
            </w: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13"/>
        </w:trPr>
        <w:tc>
          <w:tcPr>
            <w:tcW w:w="8460" w:type="dxa"/>
            <w:vAlign w:val="bottom"/>
            <w:tcBorders>
              <w:bottom w:val="single" w:sz="8" w:color="CCEEFF"/>
            </w:tcBorders>
            <w:gridSpan w:val="24"/>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8460" w:type="dxa"/>
            <w:vAlign w:val="bottom"/>
            <w:gridSpan w:val="2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EQUITY ATTRIBUTABLE TO APACHE CORPORATION</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213"/>
        </w:trPr>
        <w:tc>
          <w:tcPr>
            <w:tcW w:w="8460" w:type="dxa"/>
            <w:vAlign w:val="bottom"/>
            <w:gridSpan w:val="24"/>
          </w:tcPr>
          <w:p>
            <w:pPr>
              <w:ind w:left="140"/>
              <w:spacing w:after="0"/>
              <w:rPr>
                <w:sz w:val="20"/>
                <w:szCs w:val="20"/>
                <w:color w:val="auto"/>
              </w:rPr>
            </w:pPr>
            <w:r>
              <w:rPr>
                <w:rFonts w:ascii="Times New Roman" w:cs="Times New Roman" w:eastAsia="Times New Roman" w:hAnsi="Times New Roman"/>
                <w:sz w:val="16"/>
                <w:szCs w:val="16"/>
                <w:color w:val="auto"/>
              </w:rPr>
              <w:t>Noncontrolling interest – Sinopec</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9"/>
        </w:trPr>
        <w:tc>
          <w:tcPr>
            <w:tcW w:w="8460" w:type="dxa"/>
            <w:vAlign w:val="bottom"/>
            <w:gridSpan w:val="2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 – APA Corporation</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7"/>
        </w:trPr>
        <w:tc>
          <w:tcPr>
            <w:tcW w:w="8460" w:type="dxa"/>
            <w:vAlign w:val="bottom"/>
            <w:tcBorders>
              <w:bottom w:val="single" w:sz="8" w:color="CCEEFF"/>
            </w:tcBorders>
            <w:gridSpan w:val="24"/>
          </w:tcPr>
          <w:p>
            <w:pPr>
              <w:ind w:left="2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w:t>
            </w:r>
          </w:p>
        </w:tc>
      </w:tr>
      <w:tr>
        <w:trPr>
          <w:trHeight w:val="234"/>
        </w:trPr>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9" w:name="page10"/>
    <w:bookmarkEnd w:id="9"/>
    <w:p>
      <w:pPr>
        <w:ind w:left="3860"/>
        <w:spacing w:after="0"/>
        <w:rPr>
          <w:sz w:val="20"/>
          <w:szCs w:val="20"/>
          <w:color w:val="auto"/>
        </w:rPr>
      </w:pPr>
      <w:r>
        <w:rPr>
          <w:rFonts w:ascii="Times New Roman" w:cs="Times New Roman" w:eastAsia="Times New Roman" w:hAnsi="Times New Roman"/>
          <w:sz w:val="16"/>
          <w:szCs w:val="16"/>
          <w:b w:val="1"/>
          <w:bCs w:val="1"/>
          <w:color w:val="auto"/>
        </w:rPr>
        <w:t>APACHE CORPORATION AND SUBSIDIARIES</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STATEMENT OF CONSOLIDATED CHANGES IN EQUITY AND NONCONTROLLING INTERESTS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7"/>
        </w:trPr>
        <w:tc>
          <w:tcPr>
            <w:tcW w:w="4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TO APACHE</w:t>
            </w:r>
          </w:p>
        </w:tc>
        <w:tc>
          <w:tcPr>
            <w:tcW w:w="10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78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9"/>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
        </w:trPr>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Apache Corporation</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5"/>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 – APA</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 – Sinopec</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5"/>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 – Sinopec</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APA Corporation</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w:t>
            </w: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Apache Corporation</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5"/>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 – APA</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 – Sinopec</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 – Sinopec</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APA Corporation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APACHE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by Apache Corporation (Apache or the Company) without audit, pursuant to the rules and regulations of the Securities and Exchange Commission (SEC). The Company files these consolidated financial statements with the SEC as a voluntary filer to comply with the terms of certain of the Company’s outstanding debt instruments.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2023, which contains a summary of the Company’s significant accounting policies and other disclosures.</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the Company's significant accounting policies are consistent with those discussed in Note 1—Summary of Significant Accounting Policies of the Notes to Consolidated Financial Statements contained in the Company’s Annual Report on Form 10-K for the fiscal year ended December 31, 2023. The Company’s financial statements for prior periods may include reclassifications that were made to conform to the current-year presentation.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Apache and its subsidiaries after elimination of intercompany balances and transactions.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spacing w:after="0" w:line="13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APA Corporation (APA) also owns a noncontrolling interest in Apache’s consolidated Egypt oil and gas business. Refer to </w:t>
      </w:r>
      <w:r>
        <w:rPr>
          <w:rFonts w:ascii="Times New Roman" w:cs="Times New Roman" w:eastAsia="Times New Roman" w:hAnsi="Times New Roman"/>
          <w:sz w:val="18"/>
          <w:szCs w:val="18"/>
          <w:u w:val="single" w:color="auto"/>
          <w:color w:val="0000FF"/>
        </w:rPr>
        <w:t>Note 2—Transactions with Parent Affiliate</w:t>
      </w:r>
      <w:r>
        <w:rPr>
          <w:rFonts w:ascii="Times New Roman" w:cs="Times New Roman" w:eastAsia="Times New Roman" w:hAnsi="Times New Roman"/>
          <w:sz w:val="18"/>
          <w:szCs w:val="18"/>
          <w:color w:val="auto"/>
        </w:rPr>
        <w:t xml:space="preserve"> for detail regarding APA’s noncontrolling interest. The Company has determined that one of its limited partnership subsidiaries, which has control over Apache’s Egyptian operations, qualifies as a variable interest entity (VIE) under GAAP. Apache consolidates this limited partnership subsidiary because the Company has concluded that it has a controlling financial interest in the Egyptian operations and was determined to be the primary beneficiary of the VIE.</w:t>
      </w:r>
    </w:p>
    <w:p>
      <w:pPr>
        <w:spacing w:after="0" w:line="1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Investments in which the Company has significant influence, but not control, are accounted for under the equity method of accounting. During each of the periods ended March 31, 2024 and 2023, the Company had a designated director on the Kinetik Holdings Inc. (Kinetik) board of directors. As a result, the Company is considered to have had significant influence over Kinetik for all periods presented. The Company’s designated director resigned from the Kinetik board of directors on April 3, 2024.</w:t>
      </w:r>
    </w:p>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the Company held shares of Kinetik Class A Common Stock (Kinetik Shares), which were recorded separately as “Equity method interests” in the Company’s consolidated balance sheet. On March 18, 2024, the Company sold its remaining Kinetik Shares. Refer to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Equity Method Interests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detail.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spacing w:after="0" w:line="14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000000"/>
        </w:rPr>
        <w:t>), the assessment of asset retirement obligations (refer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8—Asset Retirement Obligation</w:t>
      </w:r>
      <w:r>
        <w:rPr>
          <w:rFonts w:ascii="Times New Roman" w:cs="Times New Roman" w:eastAsia="Times New Roman" w:hAnsi="Times New Roman"/>
          <w:sz w:val="18"/>
          <w:szCs w:val="18"/>
          <w:color w:val="000000"/>
        </w:rPr>
        <w:t>), the estimate of income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taxes (refer to </w:t>
      </w:r>
      <w:r>
        <w:rPr>
          <w:rFonts w:ascii="Times New Roman" w:cs="Times New Roman" w:eastAsia="Times New Roman" w:hAnsi="Times New Roman"/>
          <w:sz w:val="18"/>
          <w:szCs w:val="18"/>
          <w:u w:val="single" w:color="auto"/>
          <w:color w:val="0000FF"/>
        </w:rPr>
        <w:t>Note 10—Income Taxes</w:t>
      </w:r>
      <w:r>
        <w:rPr>
          <w:rFonts w:ascii="Times New Roman" w:cs="Times New Roman" w:eastAsia="Times New Roman" w:hAnsi="Times New Roman"/>
          <w:sz w:val="18"/>
          <w:szCs w:val="18"/>
          <w:color w:val="000000"/>
        </w:rPr>
        <w:t xml:space="preserve">), the estimation of the contingent liability representing Apache’s potential decommissioning obligations on sold properties in the Gulf of Mexico (refer to </w:t>
      </w:r>
      <w:r>
        <w:rPr>
          <w:rFonts w:ascii="Times New Roman" w:cs="Times New Roman" w:eastAsia="Times New Roman" w:hAnsi="Times New Roman"/>
          <w:sz w:val="18"/>
          <w:szCs w:val="18"/>
          <w:u w:val="single" w:color="auto"/>
          <w:color w:val="0000FF"/>
        </w:rPr>
        <w:t>Note 11—Commitments and Contingencies</w:t>
      </w:r>
      <w:r>
        <w:rPr>
          <w:rFonts w:ascii="Times New Roman" w:cs="Times New Roman" w:eastAsia="Times New Roman" w:hAnsi="Times New Roman"/>
          <w:sz w:val="18"/>
          <w:szCs w:val="18"/>
          <w:color w:val="000000"/>
        </w:rPr>
        <w:t>), and the estimate of proved oil and gas reserves and related present value estimates of future net cash flows therefrom.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4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5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6—Equity Method Interests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9—Debt and Financing Costs</w:t>
      </w:r>
      <w:r>
        <w:rPr>
          <w:rFonts w:ascii="Times New Roman" w:cs="Times New Roman" w:eastAsia="Times New Roman" w:hAnsi="Times New Roman"/>
          <w:sz w:val="18"/>
          <w:szCs w:val="18"/>
          <w:color w:val="auto"/>
        </w:rPr>
        <w:t xml:space="preserve"> for further detail regarding the Company’s fair value measurements recorded on a recurring basis.</w:t>
      </w:r>
    </w:p>
    <w:p>
      <w:pPr>
        <w:spacing w:after="0" w:line="121" w:lineRule="exact"/>
        <w:rPr>
          <w:sz w:val="20"/>
          <w:szCs w:val="20"/>
          <w:color w:val="auto"/>
        </w:rPr>
      </w:pPr>
    </w:p>
    <w:p>
      <w:pPr>
        <w:ind w:right="300" w:firstLine="445"/>
        <w:spacing w:after="0" w:line="4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and 2023, the Company recorded no asset impairments in connection with fair value assessments. </w:t>
      </w:r>
      <w:r>
        <w:rPr>
          <w:rFonts w:ascii="Times New Roman" w:cs="Times New Roman" w:eastAsia="Times New Roman" w:hAnsi="Times New Roman"/>
          <w:sz w:val="18"/>
          <w:szCs w:val="18"/>
          <w:b w:val="1"/>
          <w:bCs w:val="1"/>
          <w:u w:val="single" w:color="auto"/>
          <w:color w:val="auto"/>
        </w:rPr>
        <w:t>Receivable from / Payable to APA</w:t>
      </w:r>
    </w:p>
    <w:p>
      <w:pPr>
        <w:spacing w:after="0" w:line="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Receivable from or payable to APA represents the net result of Apache’s administrative and support services provided to APA and other miscellaneous cash management transactions to be settled between the two affiliated entities. Cash will be transferred to Apache or paid to APA over time in order to manage affiliate balances for cash management purposes. Refer to </w:t>
      </w:r>
      <w:r>
        <w:rPr>
          <w:rFonts w:ascii="Times New Roman" w:cs="Times New Roman" w:eastAsia="Times New Roman" w:hAnsi="Times New Roman"/>
          <w:sz w:val="18"/>
          <w:szCs w:val="18"/>
          <w:u w:val="single" w:color="auto"/>
          <w:color w:val="0000FF"/>
        </w:rPr>
        <w:t>Note 2—Transactions with Parent Affiliate</w:t>
      </w:r>
      <w:r>
        <w:rPr>
          <w:rFonts w:ascii="Times New Roman" w:cs="Times New Roman" w:eastAsia="Times New Roman" w:hAnsi="Times New Roman"/>
          <w:sz w:val="18"/>
          <w:szCs w:val="18"/>
          <w:color w:val="auto"/>
        </w:rPr>
        <w:t xml:space="preserve"> for more detail.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8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Receivables from contracts with customers, including receivables for purchased oil and gas sales and net of allowance for credit losses, were $1.4 billion at each of March 31, 2024 and December 31, 2023. Payments under all contracts with customers are typically due and received within a short-term period of one year or less, after physical delivery of the product or service has been rendered. Over the past year, the Company experienced a gradual decline in the timeliness of receipts from the Egyptian General Petroleum Corporation (EGPC) for the Company’s Egyptian oil and gas sales. Although the Company continues to receive periodic payments from EGPC, economic conditions in Egypt have lessened the availability of U.S. dollars in Egypt, resulting in a delay in receipts from EGPC. Continuation of the currency shortage in Egypt could lead to further delays, deferrals of payment, or non-payment in the future; however, the Company currently anticipates that it will ultimately be able to collect its receivable from EGPC.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Oil and gas production revenues include income taxes that will be paid to the Arab Republic of Egypt by EGPC on behalf of the Company. Revenue and associated expenses related to such tax volumes are recorded as “Oil, natural gas, and natural gas liquids production revenues” and “Current income tax provision,” respectively, in the Company’s statement of consolidated operations.</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12—Business Segment Information</w:t>
      </w:r>
      <w:r>
        <w:rPr>
          <w:rFonts w:ascii="Times New Roman" w:cs="Times New Roman" w:eastAsia="Times New Roman" w:hAnsi="Times New Roman"/>
          <w:sz w:val="18"/>
          <w:szCs w:val="18"/>
          <w:color w:val="auto"/>
        </w:rPr>
        <w:t xml:space="preserve"> for a disaggregation of oil, gas, and natural gas production revenue by product and reporting segment.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Inventories</w:t>
      </w:r>
    </w:p>
    <w:p>
      <w:pPr>
        <w:spacing w:after="0" w:line="189" w:lineRule="exact"/>
        <w:rPr>
          <w:sz w:val="20"/>
          <w:szCs w:val="20"/>
          <w:color w:val="auto"/>
        </w:rPr>
      </w:pPr>
    </w:p>
    <w:p>
      <w:pPr>
        <w:ind w:right="440" w:firstLine="445"/>
        <w:spacing w:after="0" w:line="312" w:lineRule="auto"/>
        <w:rPr>
          <w:sz w:val="20"/>
          <w:szCs w:val="20"/>
          <w:color w:val="auto"/>
        </w:rPr>
      </w:pPr>
      <w:r>
        <w:rPr>
          <w:rFonts w:ascii="Times New Roman" w:cs="Times New Roman" w:eastAsia="Times New Roman" w:hAnsi="Times New Roman"/>
          <w:sz w:val="17"/>
          <w:szCs w:val="17"/>
          <w:color w:val="auto"/>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Oil and Gas Property</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w:t>
      </w:r>
    </w:p>
    <w:p>
      <w:pPr>
        <w:spacing w:after="0" w:line="160"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w:t>
      </w:r>
    </w:p>
    <w:p>
      <w:pPr>
        <w:spacing w:after="0" w:line="14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Unproved leasehold impairments are typically recorded as a component of “Exploration” expense in the Company’s statement of consolidated operations. Gains and losses on divestitures of the Company’s oil and gas properties are recognized in the statement of consolidated operations upon closing of the transaction. Refer to </w:t>
      </w:r>
      <w:r>
        <w:rPr>
          <w:rFonts w:ascii="Times New Roman" w:cs="Times New Roman" w:eastAsia="Times New Roman" w:hAnsi="Times New Roman"/>
          <w:sz w:val="18"/>
          <w:szCs w:val="18"/>
          <w:u w:val="single" w:color="auto"/>
          <w:color w:val="0000FF"/>
        </w:rPr>
        <w:t>Note 3—Acquisitions and Divestitures</w:t>
      </w:r>
      <w:r>
        <w:rPr>
          <w:rFonts w:ascii="Times New Roman" w:cs="Times New Roman" w:eastAsia="Times New Roman" w:hAnsi="Times New Roman"/>
          <w:sz w:val="18"/>
          <w:szCs w:val="18"/>
          <w:color w:val="auto"/>
        </w:rPr>
        <w:t xml:space="preserve"> for more detail.</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Gathering, Processing, and Transmission (GPT) Facilities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GPT facilities are depreciated on a straight-line basis over the estimated useful lives of the assets. The estimation of useful life takes into consideration anticipated production lives from the fields serviced by the GPT assets, whether Apache-operated or third party-operated, as well as potential development plans by the Company for undeveloped acreage within, or close to, those fields.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Pronouncements Issued But Not Yet Adopted</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recently issued or adopted accounting standards from those disclosed in the Company’s Annual Report on Form 10-K for the fiscal year ended December 31, 2023.</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TRANSACTIONS WITH PARENT AFFILIATE</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Apache is a direct, wholly owned subsidiary of APA. Apache holds assets in the U.S., Egypt, and the U.K. and provides administrative and support operations for certain APA subsidiaries with interests in the U.S., Suriname, and other international locations. The Company incurred $8 million and $6 million in the first quarters of 2024 and 2023, respectively, in reimbursable corporate overhead charges in connection with these administration and support operations.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APA Corporation</w:t>
      </w:r>
    </w:p>
    <w:p>
      <w:pPr>
        <w:spacing w:after="0" w:line="18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March 1, 2021, Apache sold to APA all of the equity in the three Apache subsidiaries through which Apache’s interests in Suriname and the Dominican Republic were held. The purchase price is payable pursuant to a senior promissory note made by APA payable to Apache, dated March 1, 2021. The note has a seven-year term, maturing on February 29, 2028, and bears interest at a rate of 4.5 percent per annum, payable semi-annually, subject to APA’s option to allow accrued interest to convert to principal (PIK) during the first 5.5 years of the note’s term (to August 31, 2026). The note is guaranteed by each of the three subsidiaries sold by Apache to APA. APA allowed interest accrued from August 31, 2023 through February 29, 2024, totaling $192 million, to PIK pursuant to the note. At each of March 31, 2024 and December 31, 2023, there was approximately $1.5 billion in principal outstanding under this note.</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APA also made a senior promissory note payable to Apache, dated March 31, 2023, pursuant to which Apache may loan and APA may borrow, repay, and reborrow up to $1.5 billion in aggregate principal amount outstanding at any time. The note has a five-year term, maturing March 31, 2028. The note bears interest at a rate per annum of 6.0 percent, payable semi-annually; however, APA may allow accrued interest to convert to principal, subject to the aggregate maximum principal amount of the note. At each of March 31, 2024 and December 31, 2023, there were approximately $1.5 billion in borrowings outstanding under this note. The note is intended to facilitate cash management of APA and Apache.</w:t>
      </w:r>
    </w:p>
    <w:p>
      <w:pPr>
        <w:spacing w:after="0" w:line="14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These notes are both reflected in “Notes receivable from APA Corporation” on the Company’s consolidated balance sheet. The Company recognized interest income on these notes totaling $36 million and $16 million during the first quarters of 2024 and 2023, respectively. The interest income related to these notes is reflected in “Financing costs, net” on the Company’s statement of consolidated operations.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 APA Corporation</w:t>
      </w:r>
    </w:p>
    <w:p>
      <w:pPr>
        <w:spacing w:after="0" w:line="20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the fourth quarter of 2021, in conjunction with the ratification of a new merged concession agreement (MCA) with the EGPC, Apache entered into an agreement with APA under which the historical value of existing concessions prior to ratifying the MCA was retained by Apache, with any excess value from the MCA terms being allocated to APA. Sinopec owns a one-third minority participation in the Company’s consolidated Egypt oil and gas business, and 64 percent and 50 percent of the remaining net income and distributable cash flow for the Company’s Egyptian operations is allocated to APA in 2024 and 2023, respectively. Apache consolidates its Egyptian operations, with APA’s noncontrolling interest reflected as a separate component in the Company’s consolidated balance sheet. The Company recorded net income attributable to APA’s noncontrolling interest of $102 million and $84 million in the first quarters of 2024 and 2023, respectively. The Company also distributed $89 million and $17 million in the first three months of 2024 and 2023, respectively, of cash to APA in association with its noncontrolling interest.</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 Accounts Payable to APA</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Company’s role as service provider to APA, Apache is reimbursed by APA for employee costs, certain internal costs, and third-party costs paid by the Company on behalf of APA. All reimbursements are based on actual costs incurred, and no market premium is applied by the Company to APA. The Company also collects third-party receivables on behalf of APA. As of March 31, 2024 and December 31, 2023, the Company had accounts receivable from APA in connection with these services totaling $53 million and $52 million, respectively, which is reflected in “Accounts receivable from APA Corporation” on the Company’s consolidated balance sheet.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receivables from APA totaling $229 million and $93 million, respectively. This balance is reflected in “Noncurrent receivable from APA Corporation” on the Company’s consolidated balance sheet.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 with APA Corporation</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at its discretion, make distributions of capital to APA. Capital distributions totaling $76 million were made during the first three months of 2024 primarily in support of dividend payments and capital transactions completed by APA during the period. No capital distributions were made during the first three months of 2023.</w:t>
      </w:r>
    </w:p>
    <w:p>
      <w:pPr>
        <w:spacing w:after="0" w:line="145" w:lineRule="exact"/>
        <w:rPr>
          <w:sz w:val="20"/>
          <w:szCs w:val="20"/>
          <w:color w:val="auto"/>
        </w:rPr>
      </w:pPr>
    </w:p>
    <w:p>
      <w:pPr>
        <w:ind w:right="7780" w:firstLine="8"/>
        <w:spacing w:after="0" w:line="453" w:lineRule="auto"/>
        <w:tabs>
          <w:tab w:leader="none" w:pos="3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DIVESTITURES </w:t>
      </w:r>
      <w:r>
        <w:rPr>
          <w:rFonts w:ascii="Times New Roman" w:cs="Times New Roman" w:eastAsia="Times New Roman" w:hAnsi="Times New Roman"/>
          <w:sz w:val="18"/>
          <w:szCs w:val="18"/>
          <w:b w:val="1"/>
          <w:bCs w:val="1"/>
          <w:u w:val="single" w:color="auto"/>
          <w:color w:val="auto"/>
        </w:rPr>
        <w:t>2024 Activity</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 of Kinetik Shares</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On March 18, 2024, the Company sold its remaining Kinetik Shares for cash proceeds of $428 million. Refer to </w:t>
      </w:r>
      <w:r>
        <w:rPr>
          <w:rFonts w:ascii="Times New Roman" w:cs="Times New Roman" w:eastAsia="Times New Roman" w:hAnsi="Times New Roman"/>
          <w:sz w:val="18"/>
          <w:szCs w:val="18"/>
          <w:u w:val="single" w:color="auto"/>
          <w:color w:val="0000FF"/>
        </w:rPr>
        <w:t>Note 6—Equity Method Interests</w:t>
      </w:r>
      <w:r>
        <w:rPr>
          <w:rFonts w:ascii="Times New Roman" w:cs="Times New Roman" w:eastAsia="Times New Roman" w:hAnsi="Times New Roman"/>
          <w:sz w:val="18"/>
          <w:szCs w:val="18"/>
          <w:color w:val="auto"/>
        </w:rPr>
        <w:t xml:space="preserve"> for further detail.</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Divestitures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completed the sale of non-core assets and leasehold in multiple transactions for total cash proceeds of $27 million, recognizing a gain of approximately $7 million upon closing of these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Activity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Leasehold and Property Acquisitions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2023, the Company completed leasehold and property acquisitions, primarily in the Permian Basin, for total cash consideration of approximately $5 million.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Divestitures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2023, the Company completed the sale of non-core assets and leasehold in multiple transactions for total cash proceeds of $21 million, recognizing a gain of approximately $1 million upon closing of these transactions.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CAPITALIZED EXPLORATORY WELL COSTS</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capitalized exploratory well costs were $68 million and $47 million as of March 31, 2024 and December 31, 2023, respectively. The balance is primarily attributable to additional drilling activity in Egypt, partially offset by the transfer of successful well costs during the quarter. Approximately $9 million of suspended well costs previously capitalized for greater than one year at December 31, 2023 were charged to dry hole expense during the first quarter of 2024.</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OTHER CURRENT ASSETS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of the Company’s other current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4"/>
        </w:trPr>
        <w:tc>
          <w:tcPr>
            <w:tcW w:w="8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Drilling advances</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assets and other</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decommissioning security for sold Gulf of Mexico assets</w:t>
            </w: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EQUITY METHOD INTERESTS</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held 13.1 million Kinetik Shares, which were recorded at fair value of $437 million and reflected separately as “Equity method interests” in the Company’s consolidated balance sheet. The Company elected the fair value option for measuring its equity method interest in Kinetik based on practical expedience, variances in reporting timelines, and cost-benefit considerations. The fair value of the Company’s interest in Kinetik was determined using observable share prices on a major exchange, a Level 1 fair value measurement. On March 18, 2024, the Company sold its remaining Kinetik Shares for cash proceeds of $428 million.</w:t>
      </w:r>
    </w:p>
    <w:p>
      <w:pPr>
        <w:spacing w:after="0" w:line="14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Prior to the Company’s sale of its remaining Kinetik Shares and the resignation of the Company’s designated director from the Kinetik board of directors, the Company recorded changes in the fair value of its equity method interest in Kinetik totaling losses of $9 million and $19 million in the first quarters of 2024 and 2023, respectively. These losses were recorded as a component of “Revenues and Other” in the Company’s statement of consolidated operations.</w:t>
      </w:r>
    </w:p>
    <w:p>
      <w:pPr>
        <w:spacing w:after="0" w:line="13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related party sales and costs associated with Kinetik prior to the Company’s sale of its remaining Kinetik Shares and the resignation of the Company’s designated director from the Kinetik board of directors:</w:t>
      </w:r>
    </w:p>
    <w:p>
      <w:pPr>
        <w:spacing w:after="0" w:line="17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and NGLs sales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Purchased oil and gas sales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Gathering, processing, and transmission costs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CURRENT LIABILITIES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of the Company’s other current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exploration and development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 retirement obligation</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decommissioning contingency for sold Gulf of Mexico properties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ASSET RETIREMENT OBLIGATION</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describes changes to the Company’s asset retirement obligation (ARO) liability: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9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2"/>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 December 31, 2023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 incurred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settled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expense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Revisions in estimated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March 31, 2024</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r>
      <w:tr>
        <w:trPr>
          <w:trHeight w:val="216"/>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long-term</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DEBT AND FINANCING COSTS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carrying values of the Company’s debt: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Notes and debentures before unamortized discount and debt issuance costs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discount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maturities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fair values of the Company’s notes and debentures were $4.3 billion at each of March 31, 2024 and December 31, 2023.</w:t>
      </w:r>
    </w:p>
    <w:p>
      <w:pPr>
        <w:spacing w:after="0" w:line="69" w:lineRule="exact"/>
        <w:rPr>
          <w:sz w:val="20"/>
          <w:szCs w:val="20"/>
          <w:color w:val="auto"/>
        </w:rPr>
      </w:pPr>
    </w:p>
    <w:p>
      <w:pPr>
        <w:ind w:left="260"/>
        <w:spacing w:after="0" w:line="302" w:lineRule="auto"/>
        <w:rPr>
          <w:sz w:val="20"/>
          <w:szCs w:val="20"/>
          <w:color w:val="auto"/>
        </w:rPr>
      </w:pPr>
      <w:r>
        <w:rPr>
          <w:rFonts w:ascii="Times New Roman" w:cs="Times New Roman" w:eastAsia="Times New Roman" w:hAnsi="Times New Roman"/>
          <w:sz w:val="14"/>
          <w:szCs w:val="14"/>
          <w:color w:val="auto"/>
        </w:rPr>
        <w:t>Apache uses a market approach to determine the fair values of its notes and debentures using estimates provided by an independent investment financial data services firm (a Level 2 fair value measurement).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each of March 31, 2024 and December 31, 2023, current debt included $2 million of finance lease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Costs, Net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financing costs, net:</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080" w:type="dxa"/>
            <w:vAlign w:val="bottom"/>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Interest income from APA Corporation, net (</w:t>
            </w:r>
            <w:r>
              <w:rPr>
                <w:rFonts w:ascii="Times New Roman" w:cs="Times New Roman" w:eastAsia="Times New Roman" w:hAnsi="Times New Roman"/>
                <w:sz w:val="16"/>
                <w:szCs w:val="16"/>
                <w:color w:val="0000FF"/>
              </w:rPr>
              <w:t>Note 2</w:t>
            </w: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(16)</w:t>
            </w:r>
          </w:p>
        </w:tc>
      </w:tr>
      <w:tr>
        <w:trPr>
          <w:trHeight w:val="209"/>
        </w:trPr>
        <w:tc>
          <w:tcPr>
            <w:tcW w:w="29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Financing costs, net</w:t>
            </w:r>
          </w:p>
        </w:tc>
        <w:tc>
          <w:tcPr>
            <w:tcW w:w="420" w:type="dxa"/>
            <w:vAlign w:val="bottom"/>
            <w:tcBorders>
              <w:top w:val="single" w:sz="8" w:color="0000FF"/>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
        </w:trPr>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75" w:lineRule="auto"/>
        <w:rPr>
          <w:sz w:val="20"/>
          <w:szCs w:val="20"/>
          <w:color w:val="auto"/>
        </w:rPr>
      </w:pPr>
      <w:r>
        <w:rPr>
          <w:rFonts w:ascii="Times New Roman" w:cs="Times New Roman" w:eastAsia="Times New Roman" w:hAnsi="Times New Roman"/>
          <w:sz w:val="18"/>
          <w:szCs w:val="18"/>
          <w:color w:val="auto"/>
        </w:rPr>
        <w:t>During the quarter ended March 31, 2023, Apache purchased in the open market and canceled senior notes issued under its indentures in an aggregate principal amount of $74 million for an aggregate purchase price of $65 million in cash. The Company recognized a $9 million gain on these repurchases.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APA Unsecured 2022 Committed Bank Credit Facilities</w:t>
      </w:r>
    </w:p>
    <w:p>
      <w:pPr>
        <w:spacing w:after="0" w:line="18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April 29, 2022, Apache entered into two unsecured guaranties of obligations under two unsecured syndicated credit agreements then entered into by APA, of which Apache is a wholly owned subsidiary. These APA credit agreements are for general corporate purposes.</w:t>
      </w:r>
    </w:p>
    <w:p>
      <w:pPr>
        <w:spacing w:after="0" w:line="121"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agreement is denominated in US dollars (the USD Agreement) and provides for an unsecured five-year revolving credit facility, with aggregate commitments of US$1.8 billion (including a letter of credit subfacility of up to US$750 million, of which US$150 million currently is committed). APA may increase commitments up to an aggregate US$2.3 billion by adding new lenders or obtaining the consent of any increasing existing lenders. This facility matures in April 2027, subject to APA’s two, one-year extension options.</w:t>
      </w:r>
    </w:p>
    <w:p>
      <w:pPr>
        <w:spacing w:after="0" w:line="1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is denominated in pounds sterling (the GBP Agreement) and provides for an unsecured five-year revolving credit facility, with aggregate commitments of £1.5 billion for loans and letters of credit. This facility matures in April 2027, subject to APA’s two, one-year extension options.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Apache may borrow under APA’s USD Agreement up to an aggregate principal amount of US$300 million outstanding at any given time. As of March 31, 2024 and December 31, 2023, there were no borrowings by Apache outstanding under the USD Agreement. Apache has guaranteed obligations under each of the USD Agreement and GBP Agreement effective until the aggregate principal amount of indebtedness under senior notes and debentures outstanding under Apache’s existing indentures first is less than US$1.0 billion.</w:t>
      </w:r>
    </w:p>
    <w:p>
      <w:pPr>
        <w:spacing w:after="0" w:line="13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March 31, 2024, there were $30 million of borrowings under the USD Agreement and an aggregate £348 million in letters of credit outstanding under the GBP Agreement. As of March 31,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 The letters of credit denominated in pounds were issued to support North Sea decommissioning obligations, the terms of which require such support while Apache’s credit rating by Standard &amp; Poor’s remains below BBB; on March 26, 2020, Standard &amp; Poor’s reduced Apache’s rating from BBB to BB+, which was affirmed in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Uncommitted Lines of Credit</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Apache, from time to time, has and uses uncommitted credit and letter of credit facilities for working capital and credit support purposes. As of March 31, 2024 and December 31, 2023, there were no outstanding borrowings under these facilities. At each of March 31, 2024 and December 31, 2023, there were £296 million and $2 million in letters of credit outstanding under these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APA Commercial Paper Program</w:t>
      </w:r>
    </w:p>
    <w:p>
      <w:pPr>
        <w:spacing w:after="0" w:line="2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December 2023, APA established a commercial paper program under which it from time to time may issue 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there was $340 million in aggregate face amount of CP Notes outstanding, which is classified as long-term debt. As of December 31, 2023, there were no CP Notes outstanding.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APA Unsecured Committed Term Loan Facility</w:t>
      </w:r>
    </w:p>
    <w:p>
      <w:pPr>
        <w:spacing w:after="0" w:line="20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January 30, 2024, Apache entered into an unsecured guaranty of obligations under an unsecured syndicated credit agreement then entered into by APA under which the lenders have committed an aggregate $2.0 billion for senior unsecured delayed-draw term loans to APA (Term Loan Credit Agreement), the proceeds of which could be used to refinance certain indebtedness of Callon Petroleum Company, a Delaware corporation (Callon), only on the date of closing of transactions under the Merger Agreement. Refer to “Subsequent Event” for further detail. Apache has guaranteed obligations under the Term Loan Credit Agreement effective until the aggregate principal amount of indebtedness under senior notes and debentures outstanding under Apache’s existing indentures first is less than $1.0 billion.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Event</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April 1, 2024, APA closed the transactions under the Term Loan Credit Agreement. APA borrowed an aggregate $1.5 billion in senior unsecured term loans that mature April 1, 2027. 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lenders under the Term Loan Credit Agreement committed an aggregate $2.0 billion for senior unsecured delayed-draw term loans to APA available for borrowing only once upon the date of the closings under the Merger Agreement and Term Loan Credit Agreement, of which $1.5 billion was for term loans that would mature three years after the date of such closings (3-Year Tranche Loans) and $500 million was for term loans that would mature 364 days after the date of such closings (364-Day Tranche Loans). APA elected to borrow only under the 3-Year Tranche Loans and to allow the lender commitments for the 364-Day Tranche Loans to expire.</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22"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2024 differed from the U.S. federal statutory income tax rate of 21 percent due to taxes on foreign operations. The Company’s effective income tax rate for the three months ended March 31,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spacing w:after="0" w:line="1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Apache does not expect that the Pillar Two framework will have a material impact on its consolidated financial statements.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or capital taxes in various states and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reserves are related to tax years that may be subject to examination by the relevant taxing authority.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9" w:name="page20"/>
    <w:bookmarkEnd w:id="19"/>
    <w:p>
      <w:pPr>
        <w:ind w:right="7380" w:firstLine="8"/>
        <w:spacing w:after="0" w:line="464" w:lineRule="auto"/>
        <w:tabs>
          <w:tab w:leader="none" w:pos="3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Legal Matters</w:t>
      </w: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party to various legal actions arising in the ordinary course of business, including litigation and governmental and regulatory controls, which also may include controls related to the potential impacts of climate change. As of March 31, 2024, the Company has an accrued liability of approximately $84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on Legal Matters described below, refer to Note 12—Commitments and Contingencies to the consolidated financial statements contained in the Company’s Annual Report on Form 10-K for the fiscal year ended December 31, 2023.</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Argentine Environmental Claims</w:t>
      </w:r>
    </w:p>
    <w:p>
      <w:pPr>
        <w:spacing w:after="0" w:line="18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Louisiana Restoration</w:t>
      </w:r>
    </w:p>
    <w:p>
      <w:pPr>
        <w:spacing w:after="0" w:line="2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more fully described in the Company’s Annual Report on Form 10-K for the fiscal year ended December 31, 2023, 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0" w:name="page21"/>
    <w:bookmarkEnd w:id="20"/>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Without acknowledging or admitting any liability and solely to avoid the expense and uncertainty of future litigation, the Company agreed to settle with the State of Louisiana and Louisiana coastal Parishes to resolve any potential liability on the part of the Company for claims that were or could have been asserted by the coastal Parishes and/or the State of Louisiana in the pending litigation. The settlement is subject to court approval, which the parties hope to receive at some point in the first half of 2024. The consideration to be provided by the Company in the settlement will not have a material impact on the Company’s financial position. Following settlement of these various lawsuits, the Company will be a defendant in only two remaining coastal zone lawsuits, one filed by the City of New Orleans against the Company and a number of oil and gas operators and the other filed against Callon Offshore Production, Inc., among many other oil and gas operators, and pending in St. Bernard Parish, Louisiana. The Company will now oversee the latter lawsuit as a result of the merger with Callon Petroleum Company.</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Apollo Exploration Lawsuit</w:t>
      </w:r>
    </w:p>
    <w:p>
      <w:pPr>
        <w:spacing w:after="0" w:line="18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a case captioned </w:t>
      </w:r>
      <w:r>
        <w:rPr>
          <w:rFonts w:ascii="Times New Roman" w:cs="Times New Roman" w:eastAsia="Times New Roman" w:hAnsi="Times New Roman"/>
          <w:sz w:val="18"/>
          <w:szCs w:val="18"/>
          <w:i w:val="1"/>
          <w:iCs w:val="1"/>
          <w:color w:val="auto"/>
        </w:rPr>
        <w:t>Apollo Exploration, LLC, Cogent Exploration, Ltd. Co. &amp; SellmoCo, LLC v. Apache Corporation</w:t>
      </w:r>
      <w:r>
        <w:rPr>
          <w:rFonts w:ascii="Times New Roman" w:cs="Times New Roman" w:eastAsia="Times New Roman" w:hAnsi="Times New Roman"/>
          <w:sz w:val="18"/>
          <w:szCs w:val="18"/>
          <w:color w:val="auto"/>
        </w:rPr>
        <w:t>, Cause No. CV50538 in the 385</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Australian Operations Divestiture Dispute</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California and Delaware Litigation</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w:t>
      </w:r>
    </w:p>
    <w:p>
      <w:pPr>
        <w:spacing w:after="0" w:line="13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intends to challenge personal jurisdiction in California and to vigorously defend the Delaware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Kulp Minerals Lawsuit</w:t>
      </w:r>
    </w:p>
    <w:p>
      <w:pPr>
        <w:spacing w:after="0" w:line="18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On or about April 7, 2023, Apache was sued in a purported class action in New Mexico styled </w:t>
      </w:r>
      <w:r>
        <w:rPr>
          <w:rFonts w:ascii="Times New Roman" w:cs="Times New Roman" w:eastAsia="Times New Roman" w:hAnsi="Times New Roman"/>
          <w:sz w:val="18"/>
          <w:szCs w:val="18"/>
          <w:i w:val="1"/>
          <w:iCs w:val="1"/>
          <w:color w:val="auto"/>
        </w:rPr>
        <w:t>Kulp Minerals LLC v. Apache Corporation</w:t>
      </w:r>
      <w:r>
        <w:rPr>
          <w:rFonts w:ascii="Times New Roman" w:cs="Times New Roman" w:eastAsia="Times New Roman" w:hAnsi="Times New Roman"/>
          <w:sz w:val="18"/>
          <w:szCs w:val="18"/>
          <w:color w:val="auto"/>
        </w:rPr>
        <w:t xml:space="preserve">, Case No. D-506-CV-2023-00352 in the Fifth Judicial District. The </w:t>
      </w:r>
      <w:r>
        <w:rPr>
          <w:rFonts w:ascii="Times New Roman" w:cs="Times New Roman" w:eastAsia="Times New Roman" w:hAnsi="Times New Roman"/>
          <w:sz w:val="18"/>
          <w:szCs w:val="18"/>
          <w:i w:val="1"/>
          <w:iCs w:val="1"/>
          <w:color w:val="auto"/>
        </w:rPr>
        <w:t>Kulp Minerals</w:t>
      </w:r>
      <w:r>
        <w:rPr>
          <w:rFonts w:ascii="Times New Roman" w:cs="Times New Roman" w:eastAsia="Times New Roman" w:hAnsi="Times New Roman"/>
          <w:sz w:val="18"/>
          <w:szCs w:val="18"/>
          <w:color w:val="auto"/>
        </w:rPr>
        <w:t xml:space="preserve"> 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and Derivative Lawsuits</w:t>
      </w:r>
    </w:p>
    <w:p>
      <w:pPr>
        <w:spacing w:after="0" w:line="20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On February 23, 2021, a case captioned </w:t>
      </w:r>
      <w:r>
        <w:rPr>
          <w:rFonts w:ascii="Times New Roman" w:cs="Times New Roman" w:eastAsia="Times New Roman" w:hAnsi="Times New Roman"/>
          <w:sz w:val="18"/>
          <w:szCs w:val="18"/>
          <w:i w:val="1"/>
          <w:iCs w:val="1"/>
          <w:color w:val="auto"/>
        </w:rPr>
        <w:t>Plymouth County Retirement System v. Apache Corporation, et al.</w:t>
      </w:r>
      <w:r>
        <w:rPr>
          <w:rFonts w:ascii="Times New Roman" w:cs="Times New Roman" w:eastAsia="Times New Roman" w:hAnsi="Times New Roman"/>
          <w:sz w:val="18"/>
          <w:szCs w:val="18"/>
          <w:color w:val="auto"/>
        </w:rPr>
        <w:t xml:space="preserve"> was filed in the United States District Court for the Southern District of Texas (Houston Division) against the Company and certain current and former officers. The complaint, which is a shareholder lawsuit styled as a class action, alleges, among other things,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With no admission, concession, or finding of any fault, liability, or wrongdoing, but only to avoid the expense and uncertainty of litigation, the parties have agreed to a settlement resolving all claims made against the defendants by the class. The settlement agreement will be subject to court approval, and a hearing is expected to be held in the coming months. The settlement will not have a material effect on the Company’s financial position, results of operations, or liquidity and is subject to insurance coverage that companies have for these types of claims.</w:t>
      </w:r>
    </w:p>
    <w:p>
      <w:pPr>
        <w:spacing w:after="0" w:line="14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On February 21, 2023, a case captioned </w:t>
      </w:r>
      <w:r>
        <w:rPr>
          <w:rFonts w:ascii="Times New Roman" w:cs="Times New Roman" w:eastAsia="Times New Roman" w:hAnsi="Times New Roman"/>
          <w:sz w:val="18"/>
          <w:szCs w:val="18"/>
          <w:i w:val="1"/>
          <w:iCs w:val="1"/>
          <w:color w:val="auto"/>
        </w:rPr>
        <w:t>Steve Silverman, Derivatively and on behalf of Nominal Defendant APA Corp. v. John J. Christmann IV, et al.</w:t>
      </w:r>
      <w:r>
        <w:rPr>
          <w:rFonts w:ascii="Times New Roman" w:cs="Times New Roman" w:eastAsia="Times New Roman" w:hAnsi="Times New Roman"/>
          <w:sz w:val="18"/>
          <w:szCs w:val="18"/>
          <w:color w:val="auto"/>
        </w:rPr>
        <w:t xml:space="preserve"> was filed in federal district court for the Southern District of Texas. Then, on July 21, 2023, a case captioned </w:t>
      </w:r>
      <w:r>
        <w:rPr>
          <w:rFonts w:ascii="Times New Roman" w:cs="Times New Roman" w:eastAsia="Times New Roman" w:hAnsi="Times New Roman"/>
          <w:sz w:val="18"/>
          <w:szCs w:val="18"/>
          <w:i w:val="1"/>
          <w:iCs w:val="1"/>
          <w:color w:val="auto"/>
        </w:rPr>
        <w:t>Yang-Li-Yu, Derivatively and on behalf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Nominal Defendant APA Corp. v. John J. Christmann IV, et al. </w:t>
      </w:r>
      <w:r>
        <w:rPr>
          <w:rFonts w:ascii="Times New Roman" w:cs="Times New Roman" w:eastAsia="Times New Roman" w:hAnsi="Times New Roman"/>
          <w:sz w:val="18"/>
          <w:szCs w:val="18"/>
          <w:color w:val="auto"/>
        </w:rPr>
        <w:t>was filed in federal district court for the Southern District of Texas. These cases have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consolidated as </w:t>
      </w:r>
      <w:r>
        <w:rPr>
          <w:rFonts w:ascii="Times New Roman" w:cs="Times New Roman" w:eastAsia="Times New Roman" w:hAnsi="Times New Roman"/>
          <w:sz w:val="18"/>
          <w:szCs w:val="18"/>
          <w:i w:val="1"/>
          <w:iCs w:val="1"/>
          <w:color w:val="auto"/>
        </w:rPr>
        <w:t>In Re APA Corporation Derivative Litigation</w:t>
      </w:r>
      <w:r>
        <w:rPr>
          <w:rFonts w:ascii="Times New Roman" w:cs="Times New Roman" w:eastAsia="Times New Roman" w:hAnsi="Times New Roman"/>
          <w:sz w:val="18"/>
          <w:szCs w:val="18"/>
          <w:color w:val="auto"/>
        </w:rPr>
        <w:t xml:space="preserve">, Case No. 4:23-cv-00636 in the Southern District of Texas and purport to be derivative actions brought against senior management and Company directors over many of the same allegations included in the </w:t>
      </w:r>
      <w:r>
        <w:rPr>
          <w:rFonts w:ascii="Times New Roman" w:cs="Times New Roman" w:eastAsia="Times New Roman" w:hAnsi="Times New Roman"/>
          <w:sz w:val="18"/>
          <w:szCs w:val="18"/>
          <w:i w:val="1"/>
          <w:iCs w:val="1"/>
          <w:color w:val="auto"/>
        </w:rPr>
        <w:t>Plymouth County Retirement System</w:t>
      </w:r>
      <w:r>
        <w:rPr>
          <w:rFonts w:ascii="Times New Roman" w:cs="Times New Roman" w:eastAsia="Times New Roman" w:hAnsi="Times New Roman"/>
          <w:sz w:val="18"/>
          <w:szCs w:val="18"/>
          <w:color w:val="auto"/>
        </w:rPr>
        <w:t xml:space="preserve"> matter and asserts claims of (1) breach of fiduciary duty; (2) waste of corporate assets; and (3) unjust enrichment. The defendants filed a motion to dismiss the consolidated lawsuits, which is fully briefed and will remain pending following settlement of the </w:t>
      </w:r>
      <w:r>
        <w:rPr>
          <w:rFonts w:ascii="Times New Roman" w:cs="Times New Roman" w:eastAsia="Times New Roman" w:hAnsi="Times New Roman"/>
          <w:sz w:val="18"/>
          <w:szCs w:val="18"/>
          <w:i w:val="1"/>
          <w:iCs w:val="1"/>
          <w:color w:val="auto"/>
        </w:rPr>
        <w:t>Plymouth County Retirement System</w:t>
      </w:r>
      <w:r>
        <w:rPr>
          <w:rFonts w:ascii="Times New Roman" w:cs="Times New Roman" w:eastAsia="Times New Roman" w:hAnsi="Times New Roman"/>
          <w:sz w:val="18"/>
          <w:szCs w:val="18"/>
          <w:color w:val="auto"/>
        </w:rPr>
        <w:t xml:space="preserve"> case noted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the Company had an undiscounted reserve for environmental remediation of approximately $5 million.</w:t>
      </w:r>
    </w:p>
    <w:p>
      <w:pPr>
        <w:spacing w:after="0" w:line="185"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7"/>
          <w:szCs w:val="17"/>
          <w:color w:val="auto"/>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Then 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notices and information requests involved alleged emissions control and reporting violations. The Company cooperated with the EPA, responded to the information requests, and negotiated and entered into a consent decree to resolve the alleged violations in both New Mexico and Texas, which has been approved and entered by the Court. The consideration provided by the Company in connection with the consent decree, which includes a $4 million payment, will not have a material impact on the Company’s financial position.</w:t>
      </w:r>
    </w:p>
    <w:p>
      <w:pPr>
        <w:spacing w:after="0" w:line="13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not aware of any environmental claims existing as of March 31, 2024,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Potential Decommissioning Obligations on Sold Properties</w:t>
      </w:r>
    </w:p>
    <w:p>
      <w:pPr>
        <w:spacing w:after="0" w:line="18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GOM Assets were separated into a standalone company, which was subsequently merged into GOM Shelf. Under GOM Shelf’s limited liability company agreement, the proceeds of production of the Legacy GOM Assets are to be used to fund the operation of GOM Shelf and the decommissioning of Legacy GOM Assets. Pursuant to the terms of the original transaction, as amended in the first bankruptcy, 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spacing w:after="0" w:line="14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w:t>
      </w:r>
    </w:p>
    <w:p>
      <w:pPr>
        <w:spacing w:after="0" w:line="162"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 xml:space="preserve">On June 21, 2023, two sureties that issued Bonds directly to Apache and two sureties that issued bonds to the issuing bank on the Letters of Credit filed suit against Apache in a case styled </w:t>
      </w:r>
      <w:r>
        <w:rPr>
          <w:rFonts w:ascii="Times New Roman" w:cs="Times New Roman" w:eastAsia="Times New Roman" w:hAnsi="Times New Roman"/>
          <w:sz w:val="18"/>
          <w:szCs w:val="18"/>
          <w:i w:val="1"/>
          <w:iCs w:val="1"/>
          <w:color w:val="auto"/>
        </w:rPr>
        <w:t>Zurich American Insurance Company, HCC International Insurance Company PLC, Philadelphia Indemnity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 Company and Everest Reinsurance Company (Insurers) v. Apache Corporation</w:t>
      </w:r>
      <w:r>
        <w:rPr>
          <w:rFonts w:ascii="Times New Roman" w:cs="Times New Roman" w:eastAsia="Times New Roman" w:hAnsi="Times New Roman"/>
          <w:sz w:val="18"/>
          <w:szCs w:val="18"/>
          <w:color w:val="auto"/>
        </w:rPr>
        <w:t>, Cause No. 2023-38238 in the 281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Judicial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Judicial District Court denied the Insurers’ request for a temporary injunction. On July 26, 2023, Apache removed the suit to the United States Bankruptcy Court for the Southern District of Texas (Houston Division) which subsequently held that the sureties’ state court lawsuit violated the terms of the Bankruptcy Confirmation Order and is void. Since the time the sureties filed their state court lawsuit, Apache has drawn down the entirety of the Letters of Credit. Apache has also sought to draw down on the Bonds; however, the sureties refuse to pay such Bond draws. Apache is vigorously pursuing its claims against the sureties.</w:t>
      </w:r>
    </w:p>
    <w:p>
      <w:pPr>
        <w:spacing w:after="0" w:line="1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recorded a $186 million asset, which represents the remaining amount the Company expects to be reimbursed from security related to these decommissioning costs.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has recorded contingent liabilities in the amounts of $847 million and $824 million as of March 31, 2024 and December 31, 2023, respectively, representing the estimated costs of decommissioning it may be required to perform on legacy GOM properties previously sold to Fieldwood and other GOM operators. During the first quarter of 2024, the Company recognized $66 million of “Loss on previously sold Gulf of Mexico properties,” which includes increases of $33 million related to orders received during the period from BSEE to decommission properties previously sold to Cox Operating LLC. The Company recognized no losses for decommissioning previously sold properties during the first quarter of 2023. There have been no other changes in estimates from December 31, 2023 that would have a material impact on the Company’s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2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the Company is engaged in exploration and production (Upstream) activities across three operating segments: the U.S., Egypt, and North Sea. The Company’s Upstream business explores for, develops, and produces crude oil, natural gas, and natural gas liquids. Financial information for each segment is presented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Egypt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(4)</w:t>
            </w: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6"/>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203"/>
        </w:trPr>
        <w:tc>
          <w:tcPr>
            <w:tcW w:w="6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19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Gathering, processing, and transmission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228"/>
        </w:trPr>
        <w:tc>
          <w:tcPr>
            <w:tcW w:w="63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Operating Income</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previously sold Gulf of Mexico properties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divestitures,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63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w:t>
            </w: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92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Egypt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2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22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9"/>
                <w:szCs w:val="9"/>
                <w:b w:val="1"/>
                <w:bCs w:val="1"/>
                <w:color w:val="auto"/>
              </w:rPr>
              <w:t>(4)</w:t>
            </w:r>
          </w:p>
        </w:tc>
      </w:tr>
      <w:tr>
        <w:trPr>
          <w:trHeight w:val="23"/>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5"/>
              </w:rPr>
              <w:t>282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96"/>
        </w:trPr>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352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03"/>
        </w:trPr>
        <w:tc>
          <w:tcPr>
            <w:tcW w:w="6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352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r>
      <w:tr>
        <w:trPr>
          <w:trHeight w:val="19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Gathering, processing, and transmission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5"/>
              </w:rPr>
              <w:t>169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r>
              <w:rPr>
                <w:rFonts w:ascii="Times New Roman" w:cs="Times New Roman" w:eastAsia="Times New Roman" w:hAnsi="Times New Roman"/>
                <w:sz w:val="9"/>
                <w:szCs w:val="9"/>
                <w:color w:val="auto"/>
              </w:rPr>
              <w:t>(2)</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divestitures, net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9"/>
                <w:szCs w:val="9"/>
                <w:color w:val="auto"/>
              </w:rPr>
              <w:t>(3)</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w:t>
            </w:r>
          </w:p>
        </w:tc>
      </w:tr>
      <w:tr>
        <w:trPr>
          <w:trHeight w:val="20"/>
        </w:trPr>
        <w:tc>
          <w:tcPr>
            <w:tcW w:w="63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8"/>
        </w:trPr>
        <w:tc>
          <w:tcPr>
            <w:tcW w:w="93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(1)  Includes oil and gas production revenue that will be paid as taxes by EGPC on behalf of the Company for the quarters ended March 31, 2024 and 2023 of:</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80" w:type="dxa"/>
            <w:vAlign w:val="bottom"/>
            <w:gridSpan w:val="9"/>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r>
      <w:tr>
        <w:trPr>
          <w:trHeight w:val="23"/>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6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9"/>
                <w:szCs w:val="19"/>
                <w:color w:val="auto"/>
              </w:rPr>
            </w:pPr>
          </w:p>
        </w:tc>
      </w:tr>
      <w:tr>
        <w:trPr>
          <w:trHeight w:val="23"/>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8"/>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pacing w:after="0" w:line="12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of U.S. includes leasehold impairments of $10 million for the first quarter of 2024.</w:t>
      </w:r>
    </w:p>
    <w:p>
      <w:pPr>
        <w:spacing w:after="0" w:line="27"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of U.S. and North Sea includes leasehold impairments of $2 million and $3 million, respectively, for the first quarter of 2023.</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balances are excluded from total assets.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noncontrolling interests of Sinopec and APA.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MANAGEMENT’S NARRATIVE ANALYSIS OF RESULTS OF OPERATIONS</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relates to Apache Corporation (Apache or the Company) and its consolidated subsidiaries and should be read together with the Company’s Consolidated Financial Statements and accompanying notes included in Part I, </w:t>
      </w:r>
      <w:r>
        <w:rPr>
          <w:rFonts w:ascii="Times New Roman" w:cs="Times New Roman" w:eastAsia="Times New Roman" w:hAnsi="Times New Roman"/>
          <w:sz w:val="18"/>
          <w:szCs w:val="18"/>
          <w:u w:val="single" w:color="auto"/>
          <w:color w:val="0000FF"/>
        </w:rPr>
        <w:t>Item 1—Financial Statements</w:t>
      </w:r>
      <w:r>
        <w:rPr>
          <w:rFonts w:ascii="Times New Roman" w:cs="Times New Roman" w:eastAsia="Times New Roman" w:hAnsi="Times New Roman"/>
          <w:sz w:val="18"/>
          <w:szCs w:val="18"/>
          <w:color w:val="auto"/>
        </w:rPr>
        <w:t xml:space="preserve"> of this Quarterly Report on Form 10-Q, as well as related information set forth in the Company’s Consolidated Financial Statements, accompanying Notes to Consolidated Financial Statements, and Management’s Narrative Analysis of Results of Operations included in the Company’s Annual Report on Form 10-K for the fiscal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Apache, a direct, wholly owned subsidiary of APA Corporation (APA), is an independent energy company that explores for, develops, and produces natural gas, crude oil, and natural gas liquids (NGLs). The Company’s upstream business has oil and gas operations in three geographic areas: the U.S., Egypt, and offshore the U.K. in the North Sea (North Sea).</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Apache believes energy underpins global progress, and the Company wants to be a part of the solution as society works to meet growing global demand for reliable and affordable energy. Apache strives to meet those challenges while creating value for all its stakeholders.</w:t>
      </w:r>
    </w:p>
    <w:p>
      <w:pPr>
        <w:spacing w:after="0" w:line="13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Uncertainties in the global supply chain and financial markets, including the impact of ongoing international conflicts, inflation and rising interest rates, and actions taken by foreign oil and gas producing nations, including OPEC+, continue to impact oil supply and demand and contribute to commodity price volatility. Despite these uncertainties, the Company remains committed to its longer-term objectives: (1) to invest for long-term returns in pursuit of moderate, sustainable production growth; (2) to strengthen the balance sheet to underpin the generation of cash flow in excess of its upstream exploration, appraisal, and development capital program that can be directed to debt reduction and return of capital to APA; and (3) to responsibly manage its cost structure regardless of the oil price environment. The Company closely monitors hydrocarbon pricing fundamentals to reallocate capital as part of its ongoing planning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Operational Highlights</w:t>
      </w:r>
    </w:p>
    <w:p>
      <w:pPr>
        <w:spacing w:after="0" w:line="18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the first quarter of 2024, the Company reported net income of $136 million compared to net income of $137 million in the first quarter of 2023. Results for the first quarter of 2024 compared to the first quarter of 2023 were primarily impacted by higher DD&amp;A and an upward revision on decommissioning costs for its previously sold Gulf of Mexico assets in the current-year period, partially offset by lower deferred income tax expense.</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generated $320 million of cash from operating activities during the first three months of 2024, 11 percent higher than the first three months of 2023. Apache’s higher operating cash flows for the first three months of 2024 were primarily driven by timing of working capital items.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operational highlights include: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jc w:val="both"/>
        <w:ind w:left="740" w:hanging="327"/>
        <w:spacing w:after="0" w:line="258" w:lineRule="auto"/>
        <w:tabs>
          <w:tab w:leader="none" w:pos="73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Daily boe production from the Company’s U.S. assets accounted for 51 percent of its total production during the first quarter of 2024 and remained essentially flat from the first quarter of 2023. Daily oil production from the Company’s U.S. assets increased 10 percent from the first quarter of 2023. During the first quarter of 2024, the Company averaged four drilling rigs in the U.S., including three rigs in the Southern Midland Basin and one rig in the Delaware Basin, and drilled and brought online 12 operated wells in the quarter. The Company’s core Permian Basin development program continues to represent key growth areas for the U.S. assets.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21" w:lineRule="exact"/>
        <w:rPr>
          <w:sz w:val="20"/>
          <w:szCs w:val="20"/>
          <w:color w:val="auto"/>
        </w:rPr>
      </w:pPr>
    </w:p>
    <w:p>
      <w:pPr>
        <w:jc w:val="both"/>
        <w:ind w:left="740" w:hanging="327"/>
        <w:spacing w:after="0" w:line="261"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Egypt, the Company continued its drilling and workover activity with a focus on oil production. The Company averaged 17 drilling rigs and drilled 17 new productive wells during the first quarter of 2024. During the same period, the Company averaged 21 workover rigs as it continues to align its drilling and workover activity with a goal of driving improved capital efficiency. First quarter 2024 gross and net equivalent production in the Company’s Egypt assets decreased 8 percent from the first quarter of 2023, while daily oil production remained essentially flat.</w:t>
      </w:r>
    </w:p>
    <w:p>
      <w:pPr>
        <w:spacing w:after="0" w:line="7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suspended all new drilling activity in the North Sea during the second quarter of 2023. The Company’s investment program in the North Sea is now directed toward safety, base production management, and asset maintenance and integrity.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Natural Gas Liquids Production Revenues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production revenues and respective contribution to total revenues by country were as follows:</w:t>
      </w:r>
    </w:p>
    <w:p>
      <w:pPr>
        <w:spacing w:after="0" w:line="50"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6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98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32"/>
        </w:trPr>
        <w:tc>
          <w:tcPr>
            <w:tcW w:w="62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gridSpan w:val="3"/>
          </w:tcPr>
          <w:p>
            <w:pPr>
              <w:jc w:val="right"/>
              <w:ind w:right="462"/>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1400" w:type="dxa"/>
            <w:vAlign w:val="bottom"/>
            <w:gridSpan w:val="3"/>
          </w:tcPr>
          <w:p>
            <w:pPr>
              <w:jc w:val="right"/>
              <w:ind w:right="461"/>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218"/>
        </w:trPr>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Revenues:</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Revenues:</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 Revenues:</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9"/>
        </w:trPr>
        <w:tc>
          <w:tcPr>
            <w:tcW w:w="62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 Revenues:</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0"/>
        </w:trPr>
        <w:tc>
          <w:tcPr>
            <w:tcW w:w="62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revenues attributable to noncontrolling interests in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Production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production volumes by country were as follows:</w:t>
      </w:r>
    </w:p>
    <w:p>
      <w:pPr>
        <w:spacing w:after="0" w:line="5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20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0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Volume (b/d)</w:t>
            </w: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71,639</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64,913</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86,768</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87,795</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29,795</w:t>
            </w:r>
          </w:p>
        </w:tc>
        <w:tc>
          <w:tcPr>
            <w:tcW w:w="13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37,502</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188,202</w:t>
            </w:r>
          </w:p>
        </w:tc>
        <w:tc>
          <w:tcPr>
            <w:tcW w:w="13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190,210</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Volume (Mcf/d)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390,964</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412,045</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290,227</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356,350</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52,605</w:t>
            </w:r>
          </w:p>
        </w:tc>
        <w:tc>
          <w:tcPr>
            <w:tcW w:w="13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40,360</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733,796</w:t>
            </w:r>
          </w:p>
        </w:tc>
        <w:tc>
          <w:tcPr>
            <w:tcW w:w="13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808,755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 Volume (b/d)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48,418</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0" w:type="dxa"/>
            <w:vAlign w:val="bottom"/>
          </w:tcPr>
          <w:p>
            <w:pPr>
              <w:spacing w:after="0"/>
              <w:rPr>
                <w:sz w:val="1"/>
                <w:szCs w:val="1"/>
                <w:color w:val="auto"/>
              </w:rPr>
            </w:pPr>
          </w:p>
        </w:tc>
      </w:tr>
      <w:tr>
        <w:trPr>
          <w:trHeight w:val="212"/>
        </w:trPr>
        <w:tc>
          <w:tcPr>
            <w:tcW w:w="7420" w:type="dxa"/>
            <w:vAlign w:val="bottom"/>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49,823</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52,494</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tcPr>
          <w:p>
            <w:pPr>
              <w:jc w:val="center"/>
              <w:ind w:right="6324"/>
              <w:spacing w:after="0" w:line="216" w:lineRule="exact"/>
              <w:rPr>
                <w:sz w:val="20"/>
                <w:szCs w:val="20"/>
                <w:color w:val="auto"/>
              </w:rPr>
            </w:pPr>
            <w:r>
              <w:rPr>
                <w:rFonts w:ascii="Times New Roman" w:cs="Times New Roman" w:eastAsia="Times New Roman" w:hAnsi="Times New Roman"/>
                <w:sz w:val="16"/>
                <w:szCs w:val="16"/>
                <w:color w:val="auto"/>
                <w:w w:val="98"/>
              </w:rPr>
              <w:t>BOE per day</w:t>
            </w:r>
            <w:r>
              <w:rPr>
                <w:rFonts w:ascii="Times New Roman" w:cs="Times New Roman" w:eastAsia="Times New Roman" w:hAnsi="Times New Roman"/>
                <w:sz w:val="21"/>
                <w:szCs w:val="21"/>
                <w:color w:val="auto"/>
                <w:w w:val="98"/>
                <w:vertAlign w:val="superscript"/>
              </w:rPr>
              <w:t>(3)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185,217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184,827</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135,140</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North Sea</w:t>
            </w:r>
            <w:r>
              <w:rPr>
                <w:rFonts w:ascii="Times New Roman" w:cs="Times New Roman" w:eastAsia="Times New Roman" w:hAnsi="Times New Roman"/>
                <w:sz w:val="21"/>
                <w:szCs w:val="21"/>
                <w:color w:val="auto"/>
                <w:vertAlign w:val="superscript"/>
              </w:rPr>
              <w:t>(4)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39,967</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45,483</w:t>
            </w:r>
          </w:p>
        </w:tc>
        <w:tc>
          <w:tcPr>
            <w:tcW w:w="0" w:type="dxa"/>
            <w:vAlign w:val="bottom"/>
          </w:tcPr>
          <w:p>
            <w:pPr>
              <w:spacing w:after="0"/>
              <w:rPr>
                <w:sz w:val="1"/>
                <w:szCs w:val="1"/>
                <w:color w:val="auto"/>
              </w:rPr>
            </w:pPr>
          </w:p>
        </w:tc>
      </w:tr>
      <w:tr>
        <w:trPr>
          <w:trHeight w:val="210"/>
        </w:trPr>
        <w:tc>
          <w:tcPr>
            <w:tcW w:w="7420" w:type="dxa"/>
            <w:vAlign w:val="bottom"/>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360,324</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377,496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Gross oil, natural gas, and NGL production in Egypt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0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80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137,972</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140,764</w:t>
            </w:r>
          </w:p>
        </w:tc>
      </w:tr>
      <w:tr>
        <w:trPr>
          <w:trHeight w:val="188"/>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(Mcf/d)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457,248</w:t>
            </w: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545,049</w:t>
            </w:r>
          </w:p>
        </w:tc>
      </w:tr>
    </w:tbl>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Includes net production volumes per day attributable to noncontrolling interests in Egypt 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0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80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65,964</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58,559</w:t>
            </w:r>
          </w:p>
        </w:tc>
      </w:tr>
      <w:tr>
        <w:trPr>
          <w:trHeight w:val="188"/>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(Mcf/d)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220,644</w:t>
            </w: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237,686</w:t>
            </w:r>
          </w:p>
        </w:tc>
      </w:tr>
    </w:tbl>
    <w:p>
      <w:pPr>
        <w:spacing w:after="0" w:line="140" w:lineRule="exact"/>
        <w:rPr>
          <w:sz w:val="20"/>
          <w:szCs w:val="20"/>
          <w:color w:val="auto"/>
        </w:rPr>
      </w:pPr>
    </w:p>
    <w:p>
      <w:pPr>
        <w:ind w:left="260" w:right="20" w:hanging="252"/>
        <w:spacing w:after="0" w:line="282" w:lineRule="auto"/>
        <w:tabs>
          <w:tab w:leader="none" w:pos="33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shows production on a boe basis in which natural gas is converted to an equivalent barrel of oil based on a 6:1 energy equivalent ratio. This ratio is not reflective of the price ratio between the two products.</w:t>
      </w:r>
    </w:p>
    <w:p>
      <w:pPr>
        <w:spacing w:after="0" w:line="13" w:lineRule="exact"/>
        <w:rPr>
          <w:rFonts w:ascii="Times New Roman" w:cs="Times New Roman" w:eastAsia="Times New Roman" w:hAnsi="Times New Roman"/>
          <w:sz w:val="14"/>
          <w:szCs w:val="14"/>
          <w:color w:val="auto"/>
        </w:rPr>
      </w:pPr>
    </w:p>
    <w:p>
      <w:pPr>
        <w:ind w:left="260" w:hanging="252"/>
        <w:spacing w:after="0" w:line="302" w:lineRule="auto"/>
        <w:tabs>
          <w:tab w:leader="none" w:pos="33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sales volumes from the North Sea for the first quarters of 2024 and 2023 were 35,078 boe/d and 46,632 boe/d, respectively. Sales volumes may vary from production volumes as a result of the timing of liftings.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i w:val="1"/>
          <w:iCs w:val="1"/>
          <w:color w:val="auto"/>
        </w:rPr>
        <w:t>Pricing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average selling prices by country were as follows:</w:t>
      </w:r>
    </w:p>
    <w:p>
      <w:pPr>
        <w:spacing w:after="0" w:line="5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Oil Price – Per barrel</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77.44</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83.18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82.81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80.88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Natural Gas Price – Per Mcf</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NGL Price – Per barrel</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24.55</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w:t>
            </w:r>
          </w:p>
        </w:tc>
        <w:tc>
          <w:tcPr>
            <w:tcW w:w="0" w:type="dxa"/>
            <w:vAlign w:val="bottom"/>
          </w:tcPr>
          <w:p>
            <w:pPr>
              <w:spacing w:after="0"/>
              <w:rPr>
                <w:sz w:val="1"/>
                <w:szCs w:val="1"/>
                <w:color w:val="auto"/>
              </w:rPr>
            </w:pPr>
          </w:p>
        </w:tc>
      </w:tr>
      <w:tr>
        <w:trPr>
          <w:trHeight w:val="210"/>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25.53</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First-Quarter 2024 compared to First-Quarter 2023</w:t>
      </w:r>
    </w:p>
    <w:p>
      <w:pPr>
        <w:spacing w:after="0" w:line="18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w:t>
      </w:r>
      <w:r>
        <w:rPr>
          <w:rFonts w:ascii="Times New Roman" w:cs="Times New Roman" w:eastAsia="Times New Roman" w:hAnsi="Times New Roman"/>
          <w:sz w:val="18"/>
          <w:szCs w:val="18"/>
          <w:color w:val="auto"/>
        </w:rPr>
        <w:t>Crude oil revenues for the first quarter of 2024 totaled $1.3 billion, a $1 million decrease from the comparative 2023 quarter. A 1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average daily production decreased revenues by $42 million compared to the first quarter of 2023, while 3 percent higher average realized prices increased crude oil revenues by $41 million. Crude oil revenues accounted for 83 percent of total oil and gas production revenues and 52 percent of worldwide production in the first quarter of 2024. Crude oil prices realized in the first quarter of 2024 averaged $80.88 per barrel, compared with $78.48 per barrel in the comparative prior-year quarter.</w:t>
      </w:r>
    </w:p>
    <w:p>
      <w:pPr>
        <w:spacing w:after="0" w:line="15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worldwide oil production decreased 2 Mb/d to 188.2 Mb/d during the first quarter of 2024 from the comparative prior-year period, primarily a result of natural production decline across all assets, partially offset by increased drilling activity in the U.S.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w:t>
      </w:r>
      <w:r>
        <w:rPr>
          <w:rFonts w:ascii="Times New Roman" w:cs="Times New Roman" w:eastAsia="Times New Roman" w:hAnsi="Times New Roman"/>
          <w:sz w:val="18"/>
          <w:szCs w:val="18"/>
          <w:color w:val="auto"/>
        </w:rPr>
        <w:t>Gas revenues for the first quarter of 2024 totaled $170 million, a $68 million decrease from the comparative 2023 quarter. A 22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average realized prices decreased first-quarter 2024 natural gas revenues by $52 million compared to the prior-year quarter, while 9 percent lower average daily production decreased revenues by $16 million. Natural gas revenues accounted for 10 percent of total oil and gas production revenues and 34 percent of worldwide production during the first quarter of 2024. The Company’s worldwide natural gas production decreased 75 MMcf/d to 733.8 MMcf/d during the first quarter of 2024 from the comparative prior-year period, primarily a result of natural production decline across all assets, reduced gas-focused activity in Egypt, and curtailment of volumes at Alpine High in response to extreme Waha basis differentials. These decreases were partially offset by increased drilling activity and recompletions in the U.S.</w:t>
      </w:r>
    </w:p>
    <w:p>
      <w:pPr>
        <w:spacing w:after="0" w:line="14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NGL </w:t>
      </w:r>
      <w:r>
        <w:rPr>
          <w:rFonts w:ascii="Times New Roman" w:cs="Times New Roman" w:eastAsia="Times New Roman" w:hAnsi="Times New Roman"/>
          <w:sz w:val="18"/>
          <w:szCs w:val="18"/>
          <w:color w:val="auto"/>
        </w:rPr>
        <w:t>NGL revenues for the first quarter of 2024 totaled $117 million, a $1 million decrease from the comparative 2023 quarter. A 5 percent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daily production decreased revenues by $5 million compared to the prior-year quarter, while 3 percent increase in average realized prices increased first-quarter 2024 NGL revenues by $4 million. NGL revenues accounted for 7 percent of total oil and gas production revenues and 14 percent of worldwide production during the first quarter of 2024. The Company’s worldwide NGL production decreased 2.7 Mb/d to 49.8 Mb/d during the first quarter of 2024 from the comparative prior-year period, primarily a result of natural production decline across U.S. assets.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9" w:name="page30"/>
    <w:bookmarkEnd w:id="2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Purchased Oil and Gas Sales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Purchased oil and gas sales represent volumes primarily attributable to U.S. domestic gas purchases that were sold by the Company to fulfill natural gas takeaway obligations and delivery commitments. Sales related to these purchased volumes totaled $203 million and $239 million during the first quarters of 2024 and 2023, respectively. Purchased oil and gas sales were offset by associated purchase costs of $163 million and $216 million during the first quarters of 2024 and 2023, respectively. Gross purchased oil and gas sales values were lower in the first quarter of 2024, primarily due to lower average natural gas prices during the first quarter of 2024, as compared to the first quarter of 2023.</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operating expenses were as follows and include costs attributable to noncontrolling interests in Egypt:</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Gathering, processing, and transmission</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Exploration</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Oil and gas property and equipment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Gathering, processing, and transmission assets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costs, net</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0"/>
        </w:trPr>
        <w:tc>
          <w:tcPr>
            <w:tcW w:w="8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Operating Expenses (LOE)</w:t>
      </w:r>
    </w:p>
    <w:p>
      <w:pPr>
        <w:spacing w:after="0" w:line="18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LOE increased $12 million compared to the first quarter of 2023. On a per-unit basis, LOE increased 10 percent in the first quarter of 2024 when compared to the first quarter of 2023. Overall higher labor costs and other operating costs trending with global inflation drove an increase in absolute LOE, partially offset by decreased workover activity primarily in the U.S. and changes in foreign currency exchange rates against the US dollar.</w:t>
      </w:r>
    </w:p>
    <w:p>
      <w:pPr>
        <w:sectPr>
          <w:pgSz w:w="11900" w:h="16838" w:orient="portrait"/>
          <w:cols w:equalWidth="0" w:num="1">
            <w:col w:w="11240"/>
          </w:cols>
          <w:pgMar w:left="320" w:top="1251" w:right="339" w:bottom="1440" w:gutter="0" w:footer="0" w:header="0"/>
        </w:sectPr>
      </w:pP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Gathering, Processing, and Transmission (GPT)</w:t>
      </w:r>
    </w:p>
    <w:p>
      <w:pPr>
        <w:spacing w:after="0" w:line="200" w:lineRule="exact"/>
        <w:rPr>
          <w:sz w:val="20"/>
          <w:szCs w:val="20"/>
          <w:color w:val="auto"/>
        </w:rPr>
      </w:pPr>
    </w:p>
    <w:p>
      <w:pPr>
        <w:jc w:val="right"/>
        <w:ind w:right="3460"/>
        <w:spacing w:after="0"/>
        <w:rPr>
          <w:sz w:val="20"/>
          <w:szCs w:val="20"/>
          <w:color w:val="auto"/>
        </w:rPr>
      </w:pPr>
      <w:r>
        <w:rPr>
          <w:rFonts w:ascii="Times New Roman" w:cs="Times New Roman" w:eastAsia="Times New Roman" w:hAnsi="Times New Roman"/>
          <w:sz w:val="18"/>
          <w:szCs w:val="18"/>
          <w:color w:val="auto"/>
        </w:rPr>
        <w:t>The Company’s GPT expenses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Third-party processing and transmission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Midstream service costs – Kinetik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Gathering, processing, and transmission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360" w:type="dxa"/>
            <w:vAlign w:val="bottom"/>
          </w:tcPr>
          <w:p>
            <w:pPr>
              <w:spacing w:after="0"/>
              <w:rPr>
                <w:sz w:val="18"/>
                <w:szCs w:val="18"/>
                <w:color w:val="auto"/>
              </w:rPr>
            </w:pPr>
          </w:p>
        </w:tc>
        <w:tc>
          <w:tcPr>
            <w:tcW w:w="17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3"/>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251" w:right="339" w:bottom="1440" w:gutter="0" w:footer="0" w:header="0"/>
          <w:type w:val="continuous"/>
        </w:sectPr>
      </w:pPr>
    </w:p>
    <w:p>
      <w:pPr>
        <w:spacing w:after="0" w:line="52" w:lineRule="exact"/>
        <w:rPr>
          <w:sz w:val="20"/>
          <w:szCs w:val="20"/>
          <w:color w:val="auto"/>
        </w:rPr>
      </w:pPr>
    </w:p>
    <w:p>
      <w:pPr>
        <w:ind w:left="260" w:right="360" w:firstLine="202"/>
        <w:spacing w:after="0" w:line="453" w:lineRule="auto"/>
        <w:rPr>
          <w:sz w:val="20"/>
          <w:szCs w:val="20"/>
          <w:color w:val="auto"/>
        </w:rPr>
      </w:pPr>
      <w:r>
        <w:rPr>
          <w:rFonts w:ascii="Times New Roman" w:cs="Times New Roman" w:eastAsia="Times New Roman" w:hAnsi="Times New Roman"/>
          <w:sz w:val="18"/>
          <w:szCs w:val="18"/>
          <w:color w:val="auto"/>
        </w:rPr>
        <w:t xml:space="preserve">GPT costs increased $3 million in the first quarter of 2024 when compared to the first quarter of 2023, primarily driven by general cost inflation. </w:t>
      </w:r>
      <w:r>
        <w:rPr>
          <w:rFonts w:ascii="Times New Roman" w:cs="Times New Roman" w:eastAsia="Times New Roman" w:hAnsi="Times New Roman"/>
          <w:sz w:val="18"/>
          <w:szCs w:val="18"/>
          <w:i w:val="1"/>
          <w:iCs w:val="1"/>
          <w:color w:val="auto"/>
        </w:rPr>
        <w:t>Purchased Oil and Gas Costs</w:t>
      </w:r>
    </w:p>
    <w:p>
      <w:pPr>
        <w:spacing w:after="0" w:line="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Purchased oil and gas costs decreased $53 million in the first quarter of 2024, to $163 million from $216 million in the first quarter of 2023. The decrease is a result of lower average natural gas prices in the first quarter of 2024 compared to the first quarter of 2023. Purchased oil and gas costs were more than offset by associated sales to fulfill natural gas takeaway obligations and delivery commitments totaling $203 million in the first quarter of 2024, as discussed above.</w:t>
      </w:r>
    </w:p>
    <w:p>
      <w:pPr>
        <w:sectPr>
          <w:pgSz w:w="11900" w:h="16838" w:orient="portrait"/>
          <w:cols w:equalWidth="0" w:num="1">
            <w:col w:w="11240"/>
          </w:cols>
          <w:pgMar w:left="320" w:top="1251"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i w:val="1"/>
          <w:iCs w:val="1"/>
          <w:color w:val="auto"/>
        </w:rPr>
        <w:t>Taxes Other Than Income</w:t>
      </w:r>
    </w:p>
    <w:p>
      <w:pPr>
        <w:spacing w:after="0" w:line="18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Taxes other than income remained flat compared to the first quarter of 2023, the result of higher severance taxes driven by increased production volumes and higher oil prices in the U.S. offset by lower ad valorem taxes.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Exploration Expenses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exploration expenses were as follows:</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Unproved leasehold impairments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Dry hole expense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Geological and geophysical expense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Exploration overhead and other</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Exploration</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Exploration expenses decreased $2 million from the first quarter of 2023, driven by lower dry hole and exploration overhead expenses, partially offset by higher unproved leasehold impairments.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(G&amp;A) Expenses</w:t>
      </w:r>
    </w:p>
    <w:p>
      <w:pPr>
        <w:spacing w:after="0" w:line="18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G&amp;A expenses increased $25 million compared to the first quarter of 2023. The increase in G&amp;A expenses for the first quarter of 2024 compared to the first quarter of 2023 was primarily driven by higher overall labor costs across the Company and higher cash-based stock compensation expense resulting from changes in APA’s stock price.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Reorganization, and Separation (TRS) Costs</w:t>
      </w:r>
    </w:p>
    <w:p>
      <w:pPr>
        <w:spacing w:after="0" w:line="18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TRS costs increased $5 million from the first quarter of 2024. Higher TRS costs during the first quarter of 2024 were primarily a result of higher separation costs in the North Sea.</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Depletion, and Amortization (DD&amp;A)</w:t>
      </w:r>
    </w:p>
    <w:p>
      <w:pPr>
        <w:spacing w:after="0" w:line="20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Total DD&amp;A expenses increased $65 million from the first quarter of 2023, primarily driven by DD&amp;A on the Company’s oil and gas properties. The Company’s DD&amp;A rate on its oil and gas properties increased $2.35 per boe from the first quarter of 2023 driven primarily by price-related negative reserve revisions over the prior 12 months. The increase on an absolute basis was also impacted by higher oil and gas property balances resulting from capital investment activity in the U.S. over the past year.</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Costs, Net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Financing costs were as follows:</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APA Corporation, net</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Financing costs, net</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financing costs decreased $16 million from the first quarter of 2023. The decrease in costs during the first quarter of 2024 was primarily a result of higher intercompany interest income from APA Corporation and lower interest expense from lower average long-term debt balances during the first quarter of 2024 compared to the same prior-year period.</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31" w:name="page32"/>
    <w:bookmarkEnd w:id="3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22"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2024 differed from the U.S. federal statutory income tax rate of 21 percent due to taxes on foreign operations. The Company’s effective income tax rate for the three months ended March 31,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spacing w:after="0" w:line="1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Apache does not expect that the Pillar Two framework will have a material impact on its consolidated financial statements.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or capital taxes in various states and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reserves are related to tax years that may be subject to examination by the relevant taxing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8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complexity in their deployment. Critical accounting estimates address accounting matters that are inherently uncertain due to unknown future resolution of such matters. Management routinely discusses the development, selection, and disclosure of each critical accounting estimate. For a discussion of the Company’s most critical accounting estimates, please see the Company’s Annual Report on Form 10-K for the fiscal year ended December 31, 2023. Some of the more significant estimates include reserve estimates, oil and gas exploration costs, offshore decommissioning contingency, long-lived asset impairments, asset retirement obligations, and income taxes.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recently issued or adopted accounting standards from those disclosed in the Company’s Annual Report on Form 10-K for the fiscal year ended December 31, 2023.</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Omitted.</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18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John J. Christmann IV, the Company’s Chief Executive Officer, in his capacity as principal executive officer, and Stephen J. Riney, the Company’s President and Chief Financial Officer, in his capacity as principal financial officer, evaluated the effectiveness of the Company’s disclosure controls and procedures as of March 31, 2024,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8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quarter ended March 31, 2024 that have materially affected, or are reasonably likely to materially affect, the Company’s internal controls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Refer to Part I, Item 3—Legal Proceedings of the Company’s Annual Report on Form 10-K for the fiscal year ended December 31, 2023 and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the Consolidated Financial Statements set forth in Part I, Item 1 of this Quarterly Report on Form 10-Q</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(which is hereby incorporated by reference herein), for a description of material legal proceedings.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1A—Risk Factors of the Company’s Annual Report on Form 10-K for the fiscal year ended December 31, 2023.</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Given the nature of its business, APA Corporation may be subject to different or additional risks than those applicable to the Company. For a description of these risks, refer to the disclosures in APA Corporation’s Quarterly Report on Form 10-Q for the quarterly period ended March 31, 2024 and APA Corporation’s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16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700" w:type="dxa"/>
            <w:vAlign w:val="bottom"/>
            <w:gridSpan w:val="16"/>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6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w:t>
            </w:r>
          </w:p>
        </w:tc>
        <w:tc>
          <w:tcPr>
            <w:tcW w:w="420" w:type="dxa"/>
            <w:vAlign w:val="bottom"/>
          </w:tcPr>
          <w:p>
            <w:pPr>
              <w:spacing w:after="0"/>
              <w:rPr>
                <w:sz w:val="12"/>
                <w:szCs w:val="12"/>
                <w:color w:val="auto"/>
              </w:rPr>
            </w:pPr>
          </w:p>
        </w:tc>
        <w:tc>
          <w:tcPr>
            <w:tcW w:w="4700" w:type="dxa"/>
            <w:vAlign w:val="bottom"/>
            <w:gridSpan w:val="16"/>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0" w:type="dxa"/>
            <w:vAlign w:val="bottom"/>
          </w:tcPr>
          <w:p>
            <w:pPr>
              <w:spacing w:after="0"/>
              <w:rPr>
                <w:sz w:val="1"/>
                <w:szCs w:val="1"/>
                <w:color w:val="auto"/>
              </w:rPr>
            </w:pPr>
          </w:p>
        </w:tc>
      </w:tr>
      <w:tr>
        <w:trPr>
          <w:trHeight w:val="94"/>
        </w:trPr>
        <w:tc>
          <w:tcPr>
            <w:tcW w:w="2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1640" w:type="dxa"/>
            <w:vAlign w:val="bottom"/>
          </w:tcPr>
          <w:p>
            <w:pPr>
              <w:jc w:val="center"/>
              <w:ind w:right="15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5120" w:type="dxa"/>
            <w:vAlign w:val="bottom"/>
            <w:gridSpan w:val="17"/>
          </w:tcPr>
          <w:p>
            <w:pPr>
              <w:spacing w:after="0" w:line="18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Certificate of Incorporation of Registrant,</w:t>
              </w:r>
            </w:hyperlink>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110"/>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3/1/2021</w:t>
            </w: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001-04300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dated March 1, 2021, as attached as Annex A to the Certificate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2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Merger of APA Merger Sub, Inc. with and into Registrant,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6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with the Secretary of State of the State of Delaware on March 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45">
              <w:r>
                <w:rPr>
                  <w:rFonts w:ascii="Times New Roman" w:cs="Times New Roman" w:eastAsia="Times New Roman" w:hAnsi="Times New Roman"/>
                  <w:sz w:val="18"/>
                  <w:szCs w:val="18"/>
                  <w:color w:val="0000FF"/>
                  <w:w w:val="98"/>
                </w:rPr>
                <w:t>2021.</w:t>
              </w:r>
            </w:hyperlink>
          </w:p>
        </w:tc>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3.2</w:t>
            </w:r>
          </w:p>
        </w:tc>
        <w:tc>
          <w:tcPr>
            <w:tcW w:w="5120" w:type="dxa"/>
            <w:vAlign w:val="bottom"/>
            <w:gridSpan w:val="17"/>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Amendment of Amended and Restated Certificate of</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001-04300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1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Incorporation of Registrant, dated June 7, 2021, filed with the</w:t>
              </w:r>
            </w:hyperlink>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Secretary of State of the State of Delaware on June 10,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3.3</w:t>
            </w:r>
          </w:p>
        </w:tc>
        <w:tc>
          <w:tcPr>
            <w:tcW w:w="5120" w:type="dxa"/>
            <w:vAlign w:val="bottom"/>
            <w:gridSpan w:val="17"/>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Bylaws of Registrant, dated March 1, 2021</w:t>
              </w:r>
            </w:hyperlink>
            <w:r>
              <w:rPr>
                <w:rFonts w:ascii="Times New Roman" w:cs="Times New Roman" w:eastAsia="Times New Roman" w:hAnsi="Times New Roman"/>
                <w:sz w:val="18"/>
                <w:szCs w:val="18"/>
                <w:color w:val="000000"/>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001-04300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5120" w:type="dxa"/>
            <w:vAlign w:val="bottom"/>
            <w:gridSpan w:val="17"/>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Guaranty,  dated  as  of  January  30,  2024,  made  by  Apache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001-04300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Corporation in favor of each of the lenders and agents party to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Credit Agreement, dated as of January 30, 2024, among APA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00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Corporation, the lenders party thereto, JPMorgan Chase Bank,</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60" w:type="dxa"/>
            <w:vAlign w:val="bottom"/>
            <w:gridSpan w:val="14"/>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N.A., as Administrative Agent, and the other agents party thereto.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10.2</w:t>
            </w:r>
          </w:p>
        </w:tc>
        <w:tc>
          <w:tcPr>
            <w:tcW w:w="5120" w:type="dxa"/>
            <w:vAlign w:val="bottom"/>
            <w:gridSpan w:val="17"/>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Credit Agreement, dated as of January 30, 2024, among APA</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001-04300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Corporation, the lenders party thereto, JPMorgan Chase Bank,</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0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N.A., as Administrative Agent, and the other agents party 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*31.1</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Exchange Act) by Principal Executive Officer.</w:t>
            </w:r>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*31.2</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Exchange Act) by Principal Financial Officer.</w:t>
            </w:r>
          </w:p>
        </w:tc>
        <w:tc>
          <w:tcPr>
            <w:tcW w:w="172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**32.1</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Section 1350 Certification (pursuant to Sarbanes-Oxley Section</w:t>
            </w: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906) by Principal Executive Officer and Principal Financial Officer.</w:t>
            </w:r>
          </w:p>
        </w:tc>
        <w:tc>
          <w:tcPr>
            <w:tcW w:w="120" w:type="dxa"/>
            <w:vAlign w:val="bottom"/>
            <w:tcBorders>
              <w:top w:val="single" w:sz="8" w:color="0000FF"/>
            </w:tcBorders>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1640" w:type="dxa"/>
            <w:vAlign w:val="bottom"/>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9"/>
              </w:rPr>
              <w:t>*101</w:t>
            </w:r>
          </w:p>
        </w:tc>
        <w:tc>
          <w:tcPr>
            <w:tcW w:w="51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auto"/>
              </w:rPr>
              <w:t>The following financial statements from the Registrant's Quarterly</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2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Report on Form 10-Q for the quarter ended March 31, 2024,</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formatted  in  Inline  XBRL:  (i)  Statement  of  Consolidated</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12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Operations, (ii) Statement of Consolidated Comprehensive Income,</w:t>
            </w: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2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(iii) Statement of Consolidated Cash Flows, (iv) Consolidated</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Balance Sheet, (v) Statement of Consolidated Changes in Equity</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12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(Deficit)  and  Noncontrolling  Interests  and  (vi)  Notes  to</w:t>
            </w: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2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Consolidated Financial Statements, tagged as blocks of text and</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including detailed tags.</w:t>
            </w: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*101.SCH</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*101.CAL</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*101.LAB</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*101.PRE</w:t>
            </w: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6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51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c>
          <w:tcPr>
            <w:tcW w:w="4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0" w:type="dxa"/>
            <w:vAlign w:val="bottom"/>
            <w:gridSpan w:val="3"/>
          </w:tcPr>
          <w:p>
            <w:pPr>
              <w:ind w:left="366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APACHE CORPORATION</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 2024</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J. RINEY</w:t>
            </w:r>
          </w:p>
        </w:tc>
      </w:tr>
      <w:tr>
        <w:trPr>
          <w:trHeight w:val="218"/>
        </w:trPr>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J. Riney</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 2024</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REBECCA A. HOYT</w:t>
            </w:r>
          </w:p>
        </w:tc>
      </w:tr>
      <w:tr>
        <w:trPr>
          <w:trHeight w:val="218"/>
        </w:trPr>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A. Hoyt</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tc>
      </w:t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0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Christmann IV, certify that:</w:t>
      </w:r>
    </w:p>
    <w:p>
      <w:pPr>
        <w:spacing w:after="0" w:line="144" w:lineRule="exact"/>
        <w:rPr>
          <w:sz w:val="20"/>
          <w:szCs w:val="20"/>
          <w:color w:val="auto"/>
        </w:rPr>
      </w:pPr>
    </w:p>
    <w:p>
      <w:pPr>
        <w:ind w:left="360" w:hanging="33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Apache Corporation;</w:t>
      </w:r>
    </w:p>
    <w:p>
      <w:pPr>
        <w:spacing w:after="0" w:line="27" w:lineRule="exact"/>
        <w:rPr>
          <w:rFonts w:ascii="Times New Roman" w:cs="Times New Roman" w:eastAsia="Times New Roman" w:hAnsi="Times New Roman"/>
          <w:sz w:val="18"/>
          <w:szCs w:val="18"/>
          <w:color w:val="auto"/>
        </w:rPr>
      </w:pPr>
    </w:p>
    <w:p>
      <w:pPr>
        <w:jc w:val="both"/>
        <w:ind w:left="360" w:right="60" w:hanging="334"/>
        <w:spacing w:after="0" w:line="224"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360" w:right="40" w:hanging="334"/>
        <w:spacing w:after="0" w:line="237"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360" w:right="40" w:hanging="334"/>
        <w:spacing w:after="0" w:line="22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760" w:right="60" w:hanging="410"/>
        <w:spacing w:after="0" w:line="22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360" w:right="60" w:hanging="334"/>
        <w:spacing w:after="0" w:line="237"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Riney, certify that:</w:t>
      </w:r>
    </w:p>
    <w:p>
      <w:pPr>
        <w:spacing w:after="0" w:line="144" w:lineRule="exact"/>
        <w:rPr>
          <w:sz w:val="20"/>
          <w:szCs w:val="20"/>
          <w:color w:val="auto"/>
        </w:rPr>
      </w:pPr>
    </w:p>
    <w:p>
      <w:pPr>
        <w:ind w:left="360" w:hanging="334"/>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Apache Corporation;</w:t>
      </w:r>
    </w:p>
    <w:p>
      <w:pPr>
        <w:spacing w:after="0" w:line="27" w:lineRule="exact"/>
        <w:rPr>
          <w:rFonts w:ascii="Times New Roman" w:cs="Times New Roman" w:eastAsia="Times New Roman" w:hAnsi="Times New Roman"/>
          <w:sz w:val="18"/>
          <w:szCs w:val="18"/>
          <w:color w:val="auto"/>
        </w:rPr>
      </w:pPr>
    </w:p>
    <w:p>
      <w:pPr>
        <w:jc w:val="both"/>
        <w:ind w:left="360" w:right="60" w:hanging="334"/>
        <w:spacing w:after="0" w:line="224"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360" w:right="40" w:hanging="334"/>
        <w:spacing w:after="0" w:line="237"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360" w:right="40" w:hanging="334"/>
        <w:spacing w:after="0" w:line="226"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760" w:right="60" w:hanging="410"/>
        <w:spacing w:after="0" w:line="22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360" w:right="60" w:hanging="334"/>
        <w:spacing w:after="0" w:line="237"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J. Riney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Financial Officer</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John J. Christmann IV, certify pursuant to 18 U.S.C. Section 1350, as adopted pursuant to Section 906 of the Sarbanes-Oxley Act of 2002, that, to my knowledge, the quarterly report on Form 10-Q of Apache Corporation for the quarterly period ending March 31, 2024,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 2024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John J. Christmann IV</w:t>
            </w:r>
          </w:p>
        </w:tc>
      </w:tr>
      <w:tr>
        <w:trPr>
          <w:trHeight w:val="23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Stephen J. Riney, certify pursuant to 18 U.S.C. Section 1350, as adopted pursuant to Section 906 of the Sarbanes-Oxley Act of 2002, that, to my knowledge, the quarterly report on Form 10-Q of Apache Corporation for the quarterly period ending March 31, 2024,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Stephen J. Riney</w:t>
            </w:r>
          </w:p>
        </w:tc>
      </w:tr>
      <w:tr>
        <w:trPr>
          <w:trHeight w:val="23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45" Type="http://schemas.openxmlformats.org/officeDocument/2006/relationships/hyperlink" Target="https://www.sec.gov/Archives/edgar/data/6769/000119312521063792/d129139dex31.htm" TargetMode="External"/><Relationship Id="rId46" Type="http://schemas.openxmlformats.org/officeDocument/2006/relationships/hyperlink" Target="https://www.sec.gov/Archives/edgar/data/6769/000119312521189654/d165797dex31.htm" TargetMode="External"/><Relationship Id="rId47" Type="http://schemas.openxmlformats.org/officeDocument/2006/relationships/hyperlink" Target="https://www.sec.gov/Archives/edgar/data/0000006769/000119312521063792/d129139dex32.htm" TargetMode="External"/><Relationship Id="rId48" Type="http://schemas.openxmlformats.org/officeDocument/2006/relationships/hyperlink" Target="https://www.sec.gov/Archives/edgar/data/6769/000119312524018915/d760841dex101.htm" TargetMode="External"/><Relationship Id="rId49" Type="http://schemas.openxmlformats.org/officeDocument/2006/relationships/hyperlink" Target="https://www.sec.gov/Archives/edgar/data/6769/000119312524018915/d76084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2024-05-02T14:18:40Z</dcterms:created>
  <dcterms:modified xsi:type="dcterms:W3CDTF">2024-05-02T14:18:40Z</dcterms:modified>
</cp:coreProperties>
</file>