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78"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(Mark One)</w:t>
      </w:r>
    </w:p>
    <w:p>
      <w:pPr>
        <w:spacing w:after="0" w:line="21" w:lineRule="exact"/>
        <w:rPr>
          <w:sz w:val="24"/>
          <w:szCs w:val="24"/>
          <w:color w:val="auto"/>
        </w:rPr>
      </w:pPr>
    </w:p>
    <w:p>
      <w:pPr>
        <w:ind w:left="420" w:hanging="381"/>
        <w:spacing w:after="0"/>
        <w:tabs>
          <w:tab w:leader="none" w:pos="4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June 30, 2024</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06" w:lineRule="exact"/>
        <w:rPr>
          <w:sz w:val="24"/>
          <w:szCs w:val="24"/>
          <w:color w:val="auto"/>
        </w:rPr>
      </w:pPr>
    </w:p>
    <w:p>
      <w:pPr>
        <w:ind w:left="420" w:hanging="381"/>
        <w:spacing w:after="0"/>
        <w:tabs>
          <w:tab w:leader="none" w:pos="4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23"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16"/>
          <w:szCs w:val="16"/>
          <w:color w:val="auto"/>
        </w:rPr>
        <w:t>For the transition period from _________ to _________</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1-40144</w:t>
      </w:r>
    </w:p>
    <w:p>
      <w:pPr>
        <w:spacing w:after="0" w:line="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APA CORPORATION</w:t>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29" w:right="339" w:bottom="1440" w:gutter="0" w:footer="0" w:header="0"/>
        </w:sectPr>
      </w:pPr>
    </w:p>
    <w:p>
      <w:pPr>
        <w:spacing w:after="0" w:line="13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1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86-1430562</w:t>
      </w:r>
    </w:p>
    <w:p>
      <w:pPr>
        <w:spacing w:after="0" w:line="34" w:lineRule="exact"/>
        <w:rPr>
          <w:sz w:val="24"/>
          <w:szCs w:val="24"/>
          <w:color w:val="auto"/>
        </w:rPr>
      </w:pPr>
    </w:p>
    <w:p>
      <w:pPr>
        <w:sectPr>
          <w:pgSz w:w="11900" w:h="16838" w:orient="portrait"/>
          <w:cols w:equalWidth="0" w:num="2">
            <w:col w:w="7300" w:space="720"/>
            <w:col w:w="3220"/>
          </w:cols>
          <w:pgMar w:left="320" w:top="1029" w:right="33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2">
            <w:col w:w="6520" w:space="720"/>
            <w:col w:w="4000"/>
          </w:cols>
          <w:pgMar w:left="320" w:top="1029" w:right="339" w:bottom="1440" w:gutter="0" w:footer="0" w:header="0"/>
          <w:type w:val="continuous"/>
        </w:sectPr>
      </w:pP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2000 W. Sam Houston Pkwy. S., Suite 200, Houston, Texas 77042-3643</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(713) 296-6000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9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1029" w:right="339" w:bottom="1440" w:gutter="0" w:footer="0" w:header="0"/>
          <w:type w:val="continuous"/>
        </w:sectPr>
      </w:pPr>
    </w:p>
    <w:p>
      <w:pPr>
        <w:spacing w:after="0" w:line="6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30" w:lineRule="exact"/>
        <w:rPr>
          <w:sz w:val="24"/>
          <w:szCs w:val="24"/>
          <w:color w:val="auto"/>
        </w:rPr>
      </w:pPr>
    </w:p>
    <w:p>
      <w:pPr>
        <w:sectPr>
          <w:pgSz w:w="11900" w:h="16838" w:orient="portrait"/>
          <w:cols w:equalWidth="0" w:num="3">
            <w:col w:w="3860" w:space="720"/>
            <w:col w:w="2080" w:space="720"/>
            <w:col w:w="3860"/>
          </w:cols>
          <w:pgMar w:left="320" w:top="1029"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6"/>
          <w:szCs w:val="16"/>
          <w:b w:val="1"/>
          <w:bCs w:val="1"/>
          <w:color w:val="auto"/>
        </w:rPr>
        <w:t>Common Stock, $0.625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b w:val="1"/>
          <w:bCs w:val="1"/>
          <w:color w:val="auto"/>
        </w:rPr>
        <w:t>APA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Nasdaq Global Select Market</w:t>
      </w:r>
    </w:p>
    <w:p>
      <w:pPr>
        <w:spacing w:after="0" w:line="169" w:lineRule="exact"/>
        <w:rPr>
          <w:sz w:val="24"/>
          <w:szCs w:val="24"/>
          <w:color w:val="auto"/>
        </w:rPr>
      </w:pPr>
    </w:p>
    <w:p>
      <w:pPr>
        <w:sectPr>
          <w:pgSz w:w="11900" w:h="16838" w:orient="portrait"/>
          <w:cols w:equalWidth="0" w:num="3">
            <w:col w:w="4320" w:space="720"/>
            <w:col w:w="2040" w:space="720"/>
            <w:col w:w="3440"/>
          </w:cols>
          <w:pgMar w:left="320" w:top="1029" w:right="339" w:bottom="1440" w:gutter="0" w:footer="0" w:header="0"/>
          <w:type w:val="continuous"/>
        </w:sectPr>
      </w:pPr>
    </w:p>
    <w:p>
      <w:pPr>
        <w:jc w:val="both"/>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0" w:lineRule="exact"/>
        <w:rPr>
          <w:sz w:val="24"/>
          <w:szCs w:val="24"/>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13"/>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Accelerated filer</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80" w:type="dxa"/>
            <w:vAlign w:val="bottom"/>
          </w:tcPr>
          <w:p>
            <w:pPr>
              <w:ind w:left="72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200" w:type="dxa"/>
            <w:vAlign w:val="bottom"/>
          </w:tcPr>
          <w:p>
            <w:pPr>
              <w:spacing w:after="0"/>
              <w:rPr>
                <w:sz w:val="23"/>
                <w:szCs w:val="23"/>
                <w:color w:val="auto"/>
              </w:rPr>
            </w:pPr>
          </w:p>
        </w:tc>
        <w:tc>
          <w:tcPr>
            <w:tcW w:w="3280" w:type="dxa"/>
            <w:vAlign w:val="bottom"/>
          </w:tcPr>
          <w:p>
            <w:pPr>
              <w:spacing w:after="0"/>
              <w:rPr>
                <w:sz w:val="23"/>
                <w:szCs w:val="23"/>
                <w:color w:val="auto"/>
              </w:rPr>
            </w:pPr>
          </w:p>
        </w:tc>
        <w:tc>
          <w:tcPr>
            <w:tcW w:w="4760" w:type="dxa"/>
            <w:vAlign w:val="bottom"/>
          </w:tcPr>
          <w:p>
            <w:pPr>
              <w:ind w:left="2400"/>
              <w:spacing w:after="0"/>
              <w:rPr>
                <w:sz w:val="20"/>
                <w:szCs w:val="20"/>
                <w:color w:val="auto"/>
              </w:rPr>
            </w:pPr>
            <w:r>
              <w:rPr>
                <w:rFonts w:ascii="Times New Roman" w:cs="Times New Roman" w:eastAsia="Times New Roman" w:hAnsi="Times New Roman"/>
                <w:sz w:val="16"/>
                <w:szCs w:val="16"/>
                <w:color w:val="auto"/>
              </w:rPr>
              <w:t>Emerging growth company</w:t>
            </w:r>
          </w:p>
        </w:tc>
        <w:tc>
          <w:tcPr>
            <w:tcW w:w="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01"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Number of shares of registrant’s common stock outstanding as of July 31, 2024</w:t>
            </w:r>
          </w:p>
        </w:tc>
        <w:tc>
          <w:tcPr>
            <w:tcW w:w="3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369,904,843</w:t>
            </w:r>
          </w:p>
        </w:tc>
      </w:tr>
      <w:tr>
        <w:trPr>
          <w:trHeight w:val="1268"/>
        </w:trPr>
        <w:tc>
          <w:tcPr>
            <w:tcW w:w="776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9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608"/>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Item</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760" w:type="dxa"/>
            <w:vAlign w:val="bottom"/>
            <w:gridSpan w:val="3"/>
          </w:tcPr>
          <w:p>
            <w:pPr>
              <w:ind w:left="12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86"/>
        </w:trPr>
        <w:tc>
          <w:tcPr>
            <w:tcW w:w="60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15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0000FF"/>
              </w:rPr>
              <w:t>1</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STATEMENT OF CONSOLIDATED OPERATIONS</w:t>
            </w:r>
          </w:p>
        </w:tc>
        <w:tc>
          <w:tcPr>
            <w:tcW w:w="15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0000FF"/>
              </w:rPr>
              <w:t>1</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STATEMENT OF CONSOLIDATED COMPREHENSIVE INCOME</w:t>
            </w:r>
          </w:p>
        </w:tc>
        <w:tc>
          <w:tcPr>
            <w:tcW w:w="15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0000FF"/>
              </w:rPr>
              <w:t>2</w:t>
            </w:r>
          </w:p>
        </w:tc>
        <w:tc>
          <w:tcPr>
            <w:tcW w:w="240" w:type="dxa"/>
            <w:vAlign w:val="bottom"/>
          </w:tcPr>
          <w:p>
            <w:pPr>
              <w:spacing w:after="0"/>
              <w:rPr>
                <w:sz w:val="21"/>
                <w:szCs w:val="2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STATEMENT OF CONSOLIDATED CASH FLOWS</w:t>
            </w:r>
          </w:p>
        </w:tc>
        <w:tc>
          <w:tcPr>
            <w:tcW w:w="1120" w:type="dxa"/>
            <w:vAlign w:val="bottom"/>
            <w:tcBorders>
              <w:top w:val="single" w:sz="8" w:color="0000FF"/>
            </w:tcBorders>
            <w:gridSpan w:val="2"/>
          </w:tcPr>
          <w:p>
            <w:pPr>
              <w:spacing w:after="0"/>
              <w:rPr>
                <w:sz w:val="21"/>
                <w:szCs w:val="21"/>
                <w:color w:val="auto"/>
              </w:rPr>
            </w:pPr>
          </w:p>
        </w:tc>
        <w:tc>
          <w:tcPr>
            <w:tcW w:w="3780" w:type="dxa"/>
            <w:vAlign w:val="bottom"/>
            <w:gridSpan w:val="4"/>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3</w:t>
            </w:r>
          </w:p>
        </w:tc>
        <w:tc>
          <w:tcPr>
            <w:tcW w:w="240" w:type="dxa"/>
            <w:vAlign w:val="bottom"/>
          </w:tcPr>
          <w:p>
            <w:pPr>
              <w:spacing w:after="0"/>
              <w:rPr>
                <w:sz w:val="21"/>
                <w:szCs w:val="2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CONSOLIDATED BALANCE SHEET</w:t>
            </w:r>
          </w:p>
        </w:tc>
        <w:tc>
          <w:tcPr>
            <w:tcW w:w="15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0000FF"/>
              </w:rPr>
              <w:t>4</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STATEMENT OF CONSOLIDATED CHANGES IN EQUITY AND NONCONTROLLING INTERESTS</w:t>
            </w:r>
          </w:p>
        </w:tc>
        <w:tc>
          <w:tcPr>
            <w:tcW w:w="152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0000FF"/>
              </w:rPr>
              <w:t>5</w:t>
            </w:r>
          </w:p>
        </w:tc>
        <w:tc>
          <w:tcPr>
            <w:tcW w:w="240" w:type="dxa"/>
            <w:vAlign w:val="bottom"/>
          </w:tcPr>
          <w:p>
            <w:pPr>
              <w:spacing w:after="0"/>
              <w:rPr>
                <w:sz w:val="21"/>
                <w:szCs w:val="21"/>
                <w:color w:val="auto"/>
              </w:rPr>
            </w:pPr>
          </w:p>
        </w:tc>
      </w:tr>
      <w:tr>
        <w:trPr>
          <w:trHeight w:val="250"/>
        </w:trPr>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70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28</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6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740" w:type="dxa"/>
            <w:vAlign w:val="bottom"/>
            <w:gridSpan w:val="2"/>
            <w:shd w:val="clear" w:color="auto" w:fill="0000FF"/>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1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2740" w:type="dxa"/>
            <w:vAlign w:val="bottom"/>
            <w:gridSpan w:val="2"/>
          </w:tcPr>
          <w:p>
            <w:pPr>
              <w:spacing w:after="0"/>
              <w:rPr>
                <w:sz w:val="21"/>
                <w:szCs w:val="21"/>
                <w:color w:val="auto"/>
              </w:rPr>
            </w:pP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43</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3540" w:type="dxa"/>
            <w:vAlign w:val="bottom"/>
            <w:gridSpan w:val="7"/>
          </w:tcPr>
          <w:p>
            <w:pPr>
              <w:spacing w:after="0"/>
              <w:rPr>
                <w:sz w:val="21"/>
                <w:szCs w:val="21"/>
                <w:color w:val="auto"/>
              </w:rPr>
            </w:pPr>
          </w:p>
        </w:tc>
        <w:tc>
          <w:tcPr>
            <w:tcW w:w="2740" w:type="dxa"/>
            <w:vAlign w:val="bottom"/>
            <w:gridSpan w:val="2"/>
          </w:tcPr>
          <w:p>
            <w:pPr>
              <w:spacing w:after="0"/>
              <w:rPr>
                <w:sz w:val="21"/>
                <w:szCs w:val="21"/>
                <w:color w:val="auto"/>
              </w:rPr>
            </w:pP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45</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506"/>
        </w:trPr>
        <w:tc>
          <w:tcPr>
            <w:tcW w:w="600" w:type="dxa"/>
            <w:vAlign w:val="bottom"/>
          </w:tcPr>
          <w:p>
            <w:pPr>
              <w:spacing w:after="0"/>
              <w:rPr>
                <w:sz w:val="24"/>
                <w:szCs w:val="24"/>
                <w:color w:val="auto"/>
              </w:rPr>
            </w:pP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600" w:type="dxa"/>
            <w:vAlign w:val="bottom"/>
          </w:tcPr>
          <w:p>
            <w:pPr>
              <w:spacing w:after="0" w:line="20" w:lineRule="exact"/>
              <w:rPr>
                <w:sz w:val="1"/>
                <w:szCs w:val="1"/>
                <w:color w:val="auto"/>
              </w:rPr>
            </w:pPr>
          </w:p>
        </w:tc>
        <w:tc>
          <w:tcPr>
            <w:tcW w:w="640" w:type="dxa"/>
            <w:vAlign w:val="bottom"/>
            <w:gridSpan w:val="3"/>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46</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9480" w:type="dxa"/>
            <w:vAlign w:val="bottom"/>
            <w:gridSpan w:val="19"/>
          </w:tcPr>
          <w:p>
            <w:pPr>
              <w:ind w:left="300"/>
              <w:spacing w:after="0"/>
              <w:rPr>
                <w:sz w:val="20"/>
                <w:szCs w:val="20"/>
                <w:color w:val="auto"/>
              </w:rPr>
            </w:pPr>
            <w:r>
              <w:rPr>
                <w:rFonts w:ascii="Times New Roman" w:cs="Times New Roman" w:eastAsia="Times New Roman" w:hAnsi="Times New Roman"/>
                <w:sz w:val="18"/>
                <w:szCs w:val="18"/>
                <w:color w:val="auto"/>
              </w:rPr>
              <w:t xml:space="preserve">1A. </w:t>
            </w:r>
            <w:r>
              <w:rPr>
                <w:rFonts w:ascii="Times New Roman" w:cs="Times New Roman" w:eastAsia="Times New Roman" w:hAnsi="Times New Roman"/>
                <w:sz w:val="18"/>
                <w:szCs w:val="18"/>
                <w:color w:val="0000FF"/>
              </w:rPr>
              <w:t>RISK FACTORS</w:t>
            </w: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46</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88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46</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4180" w:type="dxa"/>
            <w:vAlign w:val="bottom"/>
            <w:gridSpan w:val="8"/>
            <w:shd w:val="clear" w:color="auto" w:fill="0000FF"/>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180" w:type="dxa"/>
            <w:vAlign w:val="bottom"/>
            <w:gridSpan w:val="8"/>
          </w:tcPr>
          <w:p>
            <w:pPr>
              <w:spacing w:after="0"/>
              <w:rPr>
                <w:sz w:val="21"/>
                <w:szCs w:val="21"/>
                <w:color w:val="auto"/>
              </w:rPr>
            </w:pPr>
          </w:p>
        </w:tc>
        <w:tc>
          <w:tcPr>
            <w:tcW w:w="2820" w:type="dxa"/>
            <w:vAlign w:val="bottom"/>
            <w:gridSpan w:val="3"/>
          </w:tcPr>
          <w:p>
            <w:pPr>
              <w:spacing w:after="0"/>
              <w:rPr>
                <w:sz w:val="21"/>
                <w:szCs w:val="21"/>
                <w:color w:val="auto"/>
              </w:rPr>
            </w:pP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46</w:t>
            </w:r>
          </w:p>
        </w:tc>
        <w:tc>
          <w:tcPr>
            <w:tcW w:w="240" w:type="dxa"/>
            <w:vAlign w:val="bottom"/>
          </w:tcPr>
          <w:p>
            <w:pPr>
              <w:spacing w:after="0"/>
              <w:rPr>
                <w:sz w:val="21"/>
                <w:szCs w:val="21"/>
                <w:color w:val="auto"/>
              </w:rPr>
            </w:pPr>
          </w:p>
        </w:tc>
      </w:tr>
      <w:tr>
        <w:trPr>
          <w:trHeight w:val="20"/>
        </w:trPr>
        <w:tc>
          <w:tcPr>
            <w:tcW w:w="600" w:type="dxa"/>
            <w:vAlign w:val="bottom"/>
          </w:tcPr>
          <w:p>
            <w:pPr>
              <w:spacing w:after="0" w:line="20" w:lineRule="exact"/>
              <w:rPr>
                <w:sz w:val="1"/>
                <w:szCs w:val="1"/>
                <w:color w:val="auto"/>
              </w:rPr>
            </w:pPr>
          </w:p>
        </w:tc>
        <w:tc>
          <w:tcPr>
            <w:tcW w:w="820" w:type="dxa"/>
            <w:vAlign w:val="bottom"/>
            <w:gridSpan w:val="4"/>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000" w:type="dxa"/>
            <w:vAlign w:val="bottom"/>
            <w:gridSpan w:val="11"/>
          </w:tcPr>
          <w:p>
            <w:pPr>
              <w:spacing w:after="0" w:line="20" w:lineRule="exact"/>
              <w:rPr>
                <w:sz w:val="1"/>
                <w:szCs w:val="1"/>
                <w:color w:val="auto"/>
              </w:rPr>
            </w:pPr>
          </w:p>
        </w:tc>
        <w:tc>
          <w:tcPr>
            <w:tcW w:w="142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r>
      <w:tr>
        <w:trPr>
          <w:trHeight w:val="250"/>
        </w:trPr>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8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EXHIBITS</w:t>
            </w:r>
          </w:p>
        </w:tc>
        <w:tc>
          <w:tcPr>
            <w:tcW w:w="7000" w:type="dxa"/>
            <w:vAlign w:val="bottom"/>
            <w:gridSpan w:val="11"/>
          </w:tcPr>
          <w:p>
            <w:pPr>
              <w:spacing w:after="0"/>
              <w:rPr>
                <w:sz w:val="21"/>
                <w:szCs w:val="21"/>
                <w:color w:val="auto"/>
              </w:rPr>
            </w:pPr>
          </w:p>
        </w:tc>
        <w:tc>
          <w:tcPr>
            <w:tcW w:w="1520" w:type="dxa"/>
            <w:vAlign w:val="bottom"/>
            <w:gridSpan w:val="2"/>
          </w:tcPr>
          <w:p>
            <w:pPr>
              <w:jc w:val="center"/>
              <w:ind w:left="1250"/>
              <w:spacing w:after="0"/>
              <w:rPr>
                <w:sz w:val="20"/>
                <w:szCs w:val="20"/>
                <w:color w:val="auto"/>
              </w:rPr>
            </w:pPr>
            <w:r>
              <w:rPr>
                <w:rFonts w:ascii="Times New Roman" w:cs="Times New Roman" w:eastAsia="Times New Roman" w:hAnsi="Times New Roman"/>
                <w:sz w:val="18"/>
                <w:szCs w:val="18"/>
                <w:color w:val="0000FF"/>
                <w:w w:val="99"/>
              </w:rPr>
              <w:t>47</w:t>
            </w:r>
          </w:p>
        </w:tc>
        <w:tc>
          <w:tcPr>
            <w:tcW w:w="240" w:type="dxa"/>
            <w:vAlign w:val="bottom"/>
          </w:tcPr>
          <w:p>
            <w:pPr>
              <w:spacing w:after="0"/>
              <w:rPr>
                <w:sz w:val="21"/>
                <w:szCs w:val="21"/>
                <w:color w:val="auto"/>
              </w:rPr>
            </w:pPr>
          </w:p>
        </w:tc>
      </w:tr>
      <w:tr>
        <w:trPr>
          <w:trHeight w:val="1013"/>
        </w:trPr>
        <w:tc>
          <w:tcPr>
            <w:tcW w:w="60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 AND RISKS</w:t>
      </w:r>
    </w:p>
    <w:p>
      <w:pPr>
        <w:spacing w:after="0" w:line="189"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This report includes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by reference in this report, including, without limitation, statements regarding the Company’s future financial position, business strategy, budgets, projected revenues, projected costs, plans and objectives of management for future operations and capital returns framework, the anticipated benefits of the merger (the Callon acquisition) between the Company and Callon Petroleum Company (Callon), the anticipated impact of the Callon acquisition on the combined company’s business and future financial and operating results, and the anticipated financial and operational impact and timing of the expected synergies from the Callon acquisition, are forward-looking statements. Such forward-looking statements are based on the Company’s examination of historical operating trends, the information that was used to prepare its estimate of proved reserves as of December 31, 2023, and other data in the Company’s possession or available from third parties. In addition, forward-looking statements generally can be identified by the use of forward-looking terminology such as “may,” “will,” “could,” “expect,” “intend,” “project,” “estimate,” “anticipate,” “plan,” “believe,” “continue,” “seek,” “guidance,” “goal,” “might,” “outlook,” “possibly,” “potential,” “prospect,” “should,” “would,” or similar terminology, but the absence of these words does not mean that a statement is not forward looking. Although the Company believes that the expectations reflected in such forward-looking statements are reasonable under the circumstances, it can give no assurance that such expectations will prove to have been correct. Important factors that could cause actual results to differ materially from the Company’s expectations include, but are not limited to, its assumptions about:</w:t>
      </w:r>
    </w:p>
    <w:p>
      <w:pPr>
        <w:spacing w:after="0" w:line="89"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local, regional, national, and international economic conditions, including as a result of any epidemics or pandemics, such as the coronavirus disease (COVID-19) pandemic and any related variants;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prices of oil, natural gas, natural gas liquids (NGLs), and other products or services, including the prices received for natural gas purchased from third parties to sell and deliver to a U.S. LNG export facility;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commodity hedging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and demand for oil, natural gas, NGLs, and other products or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and reserve levels;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drilling risks;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and competitive conditions, including market and macro-economic disruptions resulting from the Russian war in Ukraine, the armed conflict in Israel and Gaza, and actions taken by foreign oil and gas producing nations, including the Organization of the Petroleum Exporting Countries (OPEC) and non-OPEC members that participate in OPEC initiatives (OPEC+);</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 resources;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other contractual obligations;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tax legislation;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goods and services;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political pressure and the influence of environmental groups and other stakeholders on decisions and policies related to the industries in which the Company and its affiliates operate;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regulatory, or policy changes, including initiatives addressing the impact of global climate change or further regulating hydraulic fracturing, methane emissions, flaring, or water disposal;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performance on environmental, social, and governance measures;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terrorism;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access the capital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market-related risks, such as general credit, liquidity, and interest-rate risks;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and hire key personnel;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acquisitions or 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integration of acquisitions, including the diversion of management time on integration-related issues for the Callon acquisition and the risk that the Company may not integrate Callon’s operations in a successful manner or in the expected time period;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the anticipated benefits, cost savings, synergies, and growth from the Callon acquisition may not be fully realized or may take longer to realize than expected;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of the Callon acquisition on the Company’s business relationships and business generally, the market price of the Company’s common stock, and/or the Company’s operating results;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under Items 1 and 2—Business and Properties—Estimated Proved Reserves and Future Net Cash Flows, Item 1A—Risk Factors, Item 7—Management’s Discussion and Analysis of Financial Condition and Results of Operations, Item 7A—Quantitative and Qualitative Disclosures About Market Risk and elsewhere in the Company’s Annual Report on Form 10-K for the fiscal year ended December 31, 2023;</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disclosed in the Company’s second-quarter 2024 earnings release;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disclosed under Part II, </w:t>
      </w:r>
      <w:r>
        <w:rPr>
          <w:rFonts w:ascii="Times New Roman" w:cs="Times New Roman" w:eastAsia="Times New Roman" w:hAnsi="Times New Roman"/>
          <w:sz w:val="18"/>
          <w:szCs w:val="18"/>
          <w:u w:val="single" w:color="auto"/>
          <w:color w:val="0000FF"/>
        </w:rPr>
        <w:t>Item 1A—Risk Factors</w:t>
      </w:r>
      <w:r>
        <w:rPr>
          <w:rFonts w:ascii="Times New Roman" w:cs="Times New Roman" w:eastAsia="Times New Roman" w:hAnsi="Times New Roman"/>
          <w:sz w:val="18"/>
          <w:szCs w:val="18"/>
          <w:color w:val="auto"/>
        </w:rPr>
        <w:t xml:space="preserve"> of this Quarterly Report on Form 10-Q;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disclosed in the other filings that the Company makes with the Securities and Exchange Commission.</w:t>
      </w:r>
    </w:p>
    <w:p>
      <w:pPr>
        <w:spacing w:after="0" w:line="18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Other factors or events that could cause the Company’s actual results to differ materially from the Company’s expectations may emerge from time to time, and it is not possible for the Company to predict all such factors or events. All subsequent written and oral forward-looking statements attributable to the Company, or persons acting on its behalf, are expressly qualified in their entirety by these cautionary statements. All forward-looking statements speak only as of the date of this Quarterly Report on Form 10-Q. Except as required by law, the Company disclaims any obligation to update or revise these statements, whether based on changes in internal estimates or expectations, new information, future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535305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4" w:name="page5"/>
    <w:bookmarkEnd w:id="4"/>
    <w:p>
      <w:pPr>
        <w:ind w:left="5020"/>
        <w:spacing w:after="0"/>
        <w:rPr>
          <w:sz w:val="20"/>
          <w:szCs w:val="20"/>
          <w:color w:val="auto"/>
        </w:rPr>
      </w:pPr>
      <w:r>
        <w:rPr>
          <w:rFonts w:ascii="Times New Roman" w:cs="Times New Roman" w:eastAsia="Times New Roman" w:hAnsi="Times New Roman"/>
          <w:sz w:val="18"/>
          <w:szCs w:val="18"/>
          <w:b w:val="1"/>
          <w:bCs w:val="1"/>
          <w:color w:val="212529"/>
        </w:rPr>
        <w:t>DEFINITIONS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All defined terms under Rule 4-10(a) of Regulation S-X shall have their statutorily prescribed meanings when used in this Quarterly Report on Form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12529"/>
        </w:rPr>
        <w:t>10-Q. As used herein:</w:t>
      </w:r>
    </w:p>
    <w:p>
      <w:pPr>
        <w:spacing w:after="0" w:line="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“b/d” means barrels of oil or NGLs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“bbl” or “bbls” means barrel or barrels of oil or NGLs.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“bcf” means billion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“bcf/d” means one bcf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“boe” means barrel of oil equivalent, determined by using the ratio of one barrel of oil or NGLs to six Mcf of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“boe/d” means boe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“Btu” means a British thermal unit, a measure of heating value.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“liquids” means oil and NGLs.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“LNG” means liquefied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“Mb/d” means Mbbls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“Mbbls” means thousand barrels of oil or NGLs.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“Mboe” means thousand boe.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“Mboe/d” means Mboe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“Mcf” means thousand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“Mcf/d” means Mcf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“MMbbls” means million barrels of oil or NGLs.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“MMboe” means million boe.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“MMBtu” means million Btu.</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“MMBtu/d” means MMBtu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“MMcf” means million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“MMcf/d” means MMcf per day.</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“NGL” or “NGLs” means natural gas liquids, which are expressed in barrels.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“NYMEX” means New York Mercantile Exchange.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“oil” includes crude oil and condensate.</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“PUD” means proved undeveloped.</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“SEC” means the United States Securities and Exchange Commission.</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“Tcf” means trillion cubic feet of natural gas.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“U.K.” means United Kingdom.</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212529"/>
        </w:rPr>
        <w:t>“U.S.” means United States.</w:t>
      </w:r>
    </w:p>
    <w:p>
      <w:pPr>
        <w:spacing w:after="0" w:line="19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212529"/>
        </w:rPr>
        <w:t>With respect to information relating to the Company’s working interest in wells or acreage, “net” oil and gas wells or acreage is determined by multiplying gross wells or acreage by the Company’s working interest therein. Unless otherwise specified, all references to wells and acres are gross.</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212529"/>
        </w:rPr>
        <w:t>References to “APA,” the “Company,” “we,” “us,” and “our” refer to APA Corporation and its consolidated subsidiaries, including Apache Corporation, unless otherwise specifically stated. References to “Apache” refer to Apache Corporation, the Company’s wholly owned subsidiary, and its consolidated subsidiaries, unless otherwise specifically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530860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80" w:type="dxa"/>
            <w:vAlign w:val="bottom"/>
            <w:gridSpan w:val="6"/>
          </w:tcPr>
          <w:p>
            <w:pPr>
              <w:jc w:val="center"/>
              <w:ind w:left="3679"/>
              <w:spacing w:after="0"/>
              <w:rPr>
                <w:sz w:val="20"/>
                <w:szCs w:val="20"/>
                <w:color w:val="auto"/>
              </w:rPr>
            </w:pPr>
            <w:r>
              <w:rPr>
                <w:rFonts w:ascii="Times New Roman" w:cs="Times New Roman" w:eastAsia="Times New Roman" w:hAnsi="Times New Roman"/>
                <w:sz w:val="16"/>
                <w:szCs w:val="16"/>
                <w:b w:val="1"/>
                <w:bCs w:val="1"/>
                <w:color w:val="auto"/>
              </w:rPr>
              <w:t>APA CORPORATION AND SUBSIDIARIES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03"/>
        </w:trPr>
        <w:tc>
          <w:tcPr>
            <w:tcW w:w="7480" w:type="dxa"/>
            <w:vAlign w:val="bottom"/>
            <w:gridSpan w:val="6"/>
          </w:tcPr>
          <w:p>
            <w:pPr>
              <w:jc w:val="center"/>
              <w:ind w:left="3699"/>
              <w:spacing w:after="0"/>
              <w:rPr>
                <w:sz w:val="20"/>
                <w:szCs w:val="20"/>
                <w:color w:val="auto"/>
              </w:rPr>
            </w:pPr>
            <w:r>
              <w:rPr>
                <w:rFonts w:ascii="Times New Roman" w:cs="Times New Roman" w:eastAsia="Times New Roman" w:hAnsi="Times New Roman"/>
                <w:sz w:val="16"/>
                <w:szCs w:val="16"/>
                <w:b w:val="1"/>
                <w:bCs w:val="1"/>
                <w:color w:val="auto"/>
                <w:w w:val="99"/>
              </w:rPr>
              <w:t>STATEMENT OF CONSOLIDATED OPERATIONS</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2"/>
        </w:trPr>
        <w:tc>
          <w:tcPr>
            <w:tcW w:w="4800" w:type="dxa"/>
            <w:vAlign w:val="bottom"/>
          </w:tcPr>
          <w:p>
            <w:pPr>
              <w:spacing w:after="0"/>
              <w:rPr>
                <w:sz w:val="18"/>
                <w:szCs w:val="18"/>
                <w:color w:val="auto"/>
              </w:rPr>
            </w:pPr>
          </w:p>
        </w:tc>
        <w:tc>
          <w:tcPr>
            <w:tcW w:w="1280" w:type="dxa"/>
            <w:vAlign w:val="bottom"/>
            <w:gridSpan w:val="2"/>
          </w:tcPr>
          <w:p>
            <w:pPr>
              <w:jc w:val="center"/>
              <w:ind w:left="27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182"/>
        </w:trPr>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0" w:type="dxa"/>
            <w:vAlign w:val="bottom"/>
            <w:gridSpan w:val="5"/>
          </w:tcPr>
          <w:p>
            <w:pPr>
              <w:ind w:left="120"/>
              <w:spacing w:after="0" w:line="181" w:lineRule="exact"/>
              <w:rPr>
                <w:sz w:val="20"/>
                <w:szCs w:val="20"/>
                <w:color w:val="auto"/>
              </w:rPr>
            </w:pPr>
            <w:r>
              <w:rPr>
                <w:rFonts w:ascii="Times New Roman" w:cs="Times New Roman" w:eastAsia="Times New Roman" w:hAnsi="Times New Roman"/>
                <w:sz w:val="16"/>
                <w:szCs w:val="16"/>
                <w:b w:val="1"/>
                <w:bCs w:val="1"/>
                <w:color w:val="auto"/>
              </w:rPr>
              <w:t>For the Quarter Ended</w:t>
            </w:r>
          </w:p>
        </w:tc>
        <w:tc>
          <w:tcPr>
            <w:tcW w:w="280" w:type="dxa"/>
            <w:vAlign w:val="bottom"/>
          </w:tcPr>
          <w:p>
            <w:pPr>
              <w:spacing w:after="0"/>
              <w:rPr>
                <w:sz w:val="15"/>
                <w:szCs w:val="15"/>
                <w:color w:val="auto"/>
              </w:rPr>
            </w:pPr>
          </w:p>
        </w:tc>
        <w:tc>
          <w:tcPr>
            <w:tcW w:w="2480" w:type="dxa"/>
            <w:vAlign w:val="bottom"/>
            <w:gridSpan w:val="4"/>
          </w:tcPr>
          <w:p>
            <w:pPr>
              <w:jc w:val="right"/>
              <w:ind w:right="379"/>
              <w:spacing w:after="0" w:line="181" w:lineRule="exact"/>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4"/>
        </w:trPr>
        <w:tc>
          <w:tcPr>
            <w:tcW w:w="4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209"/>
        </w:trPr>
        <w:tc>
          <w:tcPr>
            <w:tcW w:w="4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4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
        </w:trPr>
        <w:tc>
          <w:tcPr>
            <w:tcW w:w="4800" w:type="dxa"/>
            <w:vAlign w:val="bottom"/>
          </w:tcPr>
          <w:p>
            <w:pPr>
              <w:spacing w:after="0"/>
              <w:rPr>
                <w:sz w:val="2"/>
                <w:szCs w:val="2"/>
                <w:color w:val="auto"/>
              </w:rPr>
            </w:pPr>
          </w:p>
        </w:tc>
        <w:tc>
          <w:tcPr>
            <w:tcW w:w="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 AND OTHER:</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8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Oil, natural gas, and natural gas liquids production revenues</w:t>
            </w:r>
            <w:r>
              <w:rPr>
                <w:rFonts w:ascii="Times New Roman" w:cs="Times New Roman" w:eastAsia="Times New Roman" w:hAnsi="Times New Roman"/>
                <w:sz w:val="21"/>
                <w:szCs w:val="21"/>
                <w:color w:val="auto"/>
                <w:vertAlign w:val="superscript"/>
              </w:rPr>
              <w:t>(1)</w:t>
            </w:r>
          </w:p>
        </w:tc>
        <w:tc>
          <w:tcPr>
            <w:tcW w:w="12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3,421</w:t>
            </w:r>
          </w:p>
        </w:tc>
      </w:tr>
      <w:tr>
        <w:trPr>
          <w:trHeight w:val="216"/>
        </w:trPr>
        <w:tc>
          <w:tcPr>
            <w:tcW w:w="48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Purchased oil and gas sales</w:t>
            </w:r>
            <w:r>
              <w:rPr>
                <w:rFonts w:ascii="Times New Roman" w:cs="Times New Roman" w:eastAsia="Times New Roman" w:hAnsi="Times New Roman"/>
                <w:sz w:val="21"/>
                <w:szCs w:val="21"/>
                <w:color w:val="auto"/>
                <w:vertAlign w:val="superscript"/>
              </w:rPr>
              <w:t>(1)</w:t>
            </w:r>
          </w:p>
        </w:tc>
        <w:tc>
          <w:tcPr>
            <w:tcW w:w="8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07"/>
        </w:trPr>
        <w:tc>
          <w:tcPr>
            <w:tcW w:w="48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3,804</w:t>
            </w: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instrument gains (losses), net</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on divestitures, net</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previously sold Gulf of Mexico properties</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4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8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2"/>
        </w:trPr>
        <w:tc>
          <w:tcPr>
            <w:tcW w:w="4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1,961</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3,991</w:t>
            </w:r>
          </w:p>
        </w:tc>
      </w:tr>
      <w:tr>
        <w:trPr>
          <w:trHeight w:val="19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8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9"/>
        </w:trPr>
        <w:tc>
          <w:tcPr>
            <w:tcW w:w="4800" w:type="dxa"/>
            <w:vAlign w:val="bottom"/>
            <w:shd w:val="clear" w:color="auto" w:fill="CCEEFF"/>
          </w:tcPr>
          <w:p>
            <w:pPr>
              <w:ind w:left="140"/>
              <w:spacing w:after="0" w:line="219" w:lineRule="exact"/>
              <w:rPr>
                <w:sz w:val="20"/>
                <w:szCs w:val="20"/>
                <w:color w:val="auto"/>
              </w:rPr>
            </w:pPr>
            <w:r>
              <w:rPr>
                <w:rFonts w:ascii="Times New Roman" w:cs="Times New Roman" w:eastAsia="Times New Roman" w:hAnsi="Times New Roman"/>
                <w:sz w:val="16"/>
                <w:szCs w:val="16"/>
                <w:color w:val="auto"/>
              </w:rPr>
              <w:t>Lease operating expenses</w:t>
            </w:r>
            <w:r>
              <w:rPr>
                <w:rFonts w:ascii="Times New Roman" w:cs="Times New Roman" w:eastAsia="Times New Roman" w:hAnsi="Times New Roman"/>
                <w:sz w:val="21"/>
                <w:szCs w:val="21"/>
                <w:color w:val="auto"/>
                <w:vertAlign w:val="superscript"/>
              </w:rPr>
              <w:t>(1)</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6"/>
        </w:trPr>
        <w:tc>
          <w:tcPr>
            <w:tcW w:w="4800" w:type="dxa"/>
            <w:vAlign w:val="bottom"/>
          </w:tcPr>
          <w:p>
            <w:pPr>
              <w:ind w:left="140"/>
              <w:spacing w:after="0" w:line="216" w:lineRule="exact"/>
              <w:rPr>
                <w:sz w:val="20"/>
                <w:szCs w:val="20"/>
                <w:color w:val="auto"/>
              </w:rPr>
            </w:pPr>
            <w:r>
              <w:rPr>
                <w:rFonts w:ascii="Times New Roman" w:cs="Times New Roman" w:eastAsia="Times New Roman" w:hAnsi="Times New Roman"/>
                <w:sz w:val="16"/>
                <w:szCs w:val="16"/>
                <w:color w:val="auto"/>
              </w:rPr>
              <w:t>Gathering, processing, and transmission</w:t>
            </w:r>
            <w:r>
              <w:rPr>
                <w:rFonts w:ascii="Times New Roman" w:cs="Times New Roman" w:eastAsia="Times New Roman" w:hAnsi="Times New Roman"/>
                <w:sz w:val="21"/>
                <w:szCs w:val="21"/>
                <w:color w:val="auto"/>
                <w:vertAlign w:val="superscript"/>
              </w:rPr>
              <w:t>(1)</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6"/>
        </w:trPr>
        <w:tc>
          <w:tcPr>
            <w:tcW w:w="4800" w:type="dxa"/>
            <w:vAlign w:val="bottom"/>
            <w:shd w:val="clear" w:color="auto" w:fill="CCEEFF"/>
          </w:tcPr>
          <w:p>
            <w:pPr>
              <w:ind w:left="140"/>
              <w:spacing w:after="0" w:line="216" w:lineRule="exact"/>
              <w:rPr>
                <w:sz w:val="20"/>
                <w:szCs w:val="20"/>
                <w:color w:val="auto"/>
              </w:rPr>
            </w:pPr>
            <w:r>
              <w:rPr>
                <w:rFonts w:ascii="Times New Roman" w:cs="Times New Roman" w:eastAsia="Times New Roman" w:hAnsi="Times New Roman"/>
                <w:sz w:val="16"/>
                <w:szCs w:val="16"/>
                <w:color w:val="auto"/>
              </w:rPr>
              <w:t>Purchased oil and gas costs</w:t>
            </w:r>
            <w:r>
              <w:rPr>
                <w:rFonts w:ascii="Times New Roman" w:cs="Times New Roman" w:eastAsia="Times New Roman" w:hAnsi="Times New Roman"/>
                <w:sz w:val="21"/>
                <w:szCs w:val="21"/>
                <w:color w:val="auto"/>
                <w:vertAlign w:val="superscript"/>
              </w:rPr>
              <w:t>(1)</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other than income</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Exploration</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Transaction, reorganization, and separation</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w:t>
            </w: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 retirement obligation accretion</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Impairments</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6"/>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costs, net</w:t>
            </w:r>
          </w:p>
        </w:tc>
        <w:tc>
          <w:tcPr>
            <w:tcW w:w="8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09"/>
        </w:trPr>
        <w:tc>
          <w:tcPr>
            <w:tcW w:w="48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2,481</w:t>
            </w:r>
          </w:p>
        </w:tc>
      </w:tr>
      <w:tr>
        <w:trPr>
          <w:trHeight w:val="212"/>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BEFORE INCOME TAXES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w:t>
            </w: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income tax provision</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 provision (benefit)</w:t>
            </w:r>
          </w:p>
        </w:tc>
        <w:tc>
          <w:tcPr>
            <w:tcW w:w="8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07"/>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INCLUDING NONCONTROLLING INTERESTS</w:t>
            </w: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attributable to noncontrolling interest</w:t>
            </w:r>
          </w:p>
        </w:tc>
        <w:tc>
          <w:tcPr>
            <w:tcW w:w="8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10"/>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w:t>
            </w:r>
          </w:p>
        </w:tc>
        <w:tc>
          <w:tcPr>
            <w:tcW w:w="8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w:t>
            </w:r>
          </w:p>
        </w:tc>
      </w:tr>
      <w:tr>
        <w:trPr>
          <w:trHeight w:val="20"/>
        </w:trPr>
        <w:tc>
          <w:tcPr>
            <w:tcW w:w="48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48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13"/>
        </w:trPr>
        <w:tc>
          <w:tcPr>
            <w:tcW w:w="4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280" w:type="dxa"/>
            <w:vAlign w:val="bottom"/>
            <w:gridSpan w:val="2"/>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280" w:type="dxa"/>
            <w:vAlign w:val="bottom"/>
            <w:gridSpan w:val="2"/>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9"/>
        </w:trPr>
        <w:tc>
          <w:tcPr>
            <w:tcW w:w="60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3"/>
        </w:trPr>
        <w:tc>
          <w:tcPr>
            <w:tcW w:w="4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r>
      <w:tr>
        <w:trPr>
          <w:trHeight w:val="219"/>
        </w:trPr>
        <w:tc>
          <w:tcPr>
            <w:tcW w:w="4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r>
    </w:tbl>
    <w:p>
      <w:pPr>
        <w:spacing w:after="0" w:line="126" w:lineRule="exact"/>
        <w:rPr>
          <w:sz w:val="20"/>
          <w:szCs w:val="20"/>
          <w:color w:val="auto"/>
        </w:rPr>
      </w:pPr>
    </w:p>
    <w:p>
      <w:pPr>
        <w:ind w:left="260" w:hanging="252"/>
        <w:spacing w:after="0" w:line="302" w:lineRule="auto"/>
        <w:tabs>
          <w:tab w:leader="none" w:pos="374"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For transactions with Kinetik prior to the Company’s sale of its remaining shares of Kinetik Class A Common Stock and the resignation of the Company’s designated director from the Kinetik board of directors, refer to </w:t>
      </w:r>
      <w:r>
        <w:rPr>
          <w:rFonts w:ascii="Times New Roman" w:cs="Times New Roman" w:eastAsia="Times New Roman" w:hAnsi="Times New Roman"/>
          <w:sz w:val="14"/>
          <w:szCs w:val="14"/>
          <w:u w:val="single" w:color="auto"/>
          <w:color w:val="0000FF"/>
        </w:rPr>
        <w:t>Note 6—Equity Method Interests</w:t>
      </w:r>
      <w:r>
        <w:rPr>
          <w:rFonts w:ascii="Times New Roman" w:cs="Times New Roman" w:eastAsia="Times New Roman" w:hAnsi="Times New Roman"/>
          <w:sz w:val="14"/>
          <w:szCs w:val="14"/>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89"/>
        </w:trPr>
        <w:tc>
          <w:tcPr>
            <w:tcW w:w="7240" w:type="dxa"/>
            <w:vAlign w:val="bottom"/>
            <w:gridSpan w:val="2"/>
          </w:tcPr>
          <w:p>
            <w:pPr>
              <w:jc w:val="center"/>
              <w:ind w:left="3919"/>
              <w:spacing w:after="0"/>
              <w:rPr>
                <w:sz w:val="20"/>
                <w:szCs w:val="20"/>
                <w:color w:val="auto"/>
              </w:rPr>
            </w:pPr>
            <w:r>
              <w:rPr>
                <w:rFonts w:ascii="Times New Roman" w:cs="Times New Roman" w:eastAsia="Times New Roman" w:hAnsi="Times New Roman"/>
                <w:sz w:val="16"/>
                <w:szCs w:val="16"/>
                <w:b w:val="1"/>
                <w:bCs w:val="1"/>
                <w:color w:val="auto"/>
              </w:rPr>
              <w:t>APA CORPORATION AND SUBSIDIARIES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203"/>
        </w:trPr>
        <w:tc>
          <w:tcPr>
            <w:tcW w:w="8120" w:type="dxa"/>
            <w:vAlign w:val="bottom"/>
            <w:gridSpan w:val="4"/>
          </w:tcPr>
          <w:p>
            <w:pPr>
              <w:jc w:val="center"/>
              <w:ind w:left="3059"/>
              <w:spacing w:after="0"/>
              <w:rPr>
                <w:sz w:val="20"/>
                <w:szCs w:val="20"/>
                <w:color w:val="auto"/>
              </w:rPr>
            </w:pPr>
            <w:r>
              <w:rPr>
                <w:rFonts w:ascii="Times New Roman" w:cs="Times New Roman" w:eastAsia="Times New Roman" w:hAnsi="Times New Roman"/>
                <w:sz w:val="16"/>
                <w:szCs w:val="16"/>
                <w:b w:val="1"/>
                <w:bCs w:val="1"/>
                <w:color w:val="auto"/>
              </w:rPr>
              <w:t>STATEMENT OF CONSOLIDATED COMPREHENSIVE INCOME</w:t>
            </w: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2"/>
        </w:trPr>
        <w:tc>
          <w:tcPr>
            <w:tcW w:w="7060" w:type="dxa"/>
            <w:vAlign w:val="bottom"/>
          </w:tcPr>
          <w:p>
            <w:pPr>
              <w:jc w:val="center"/>
              <w:ind w:left="409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181"/>
        </w:trPr>
        <w:tc>
          <w:tcPr>
            <w:tcW w:w="7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gridSpan w:val="5"/>
          </w:tcPr>
          <w:p>
            <w:pPr>
              <w:ind w:left="40"/>
              <w:spacing w:after="0" w:line="181" w:lineRule="exact"/>
              <w:rPr>
                <w:sz w:val="20"/>
                <w:szCs w:val="20"/>
                <w:color w:val="auto"/>
              </w:rPr>
            </w:pPr>
            <w:r>
              <w:rPr>
                <w:rFonts w:ascii="Times New Roman" w:cs="Times New Roman" w:eastAsia="Times New Roman" w:hAnsi="Times New Roman"/>
                <w:sz w:val="16"/>
                <w:szCs w:val="16"/>
                <w:b w:val="1"/>
                <w:bCs w:val="1"/>
                <w:color w:val="auto"/>
              </w:rPr>
              <w:t>For the Quarter Ended</w:t>
            </w:r>
          </w:p>
        </w:tc>
        <w:tc>
          <w:tcPr>
            <w:tcW w:w="120" w:type="dxa"/>
            <w:vAlign w:val="bottom"/>
          </w:tcPr>
          <w:p>
            <w:pPr>
              <w:spacing w:after="0"/>
              <w:rPr>
                <w:sz w:val="15"/>
                <w:szCs w:val="15"/>
                <w:color w:val="auto"/>
              </w:rPr>
            </w:pPr>
          </w:p>
        </w:tc>
        <w:tc>
          <w:tcPr>
            <w:tcW w:w="1940" w:type="dxa"/>
            <w:vAlign w:val="bottom"/>
            <w:gridSpan w:val="4"/>
          </w:tcPr>
          <w:p>
            <w:pPr>
              <w:jc w:val="right"/>
              <w:ind w:right="39"/>
              <w:spacing w:after="0" w:line="181" w:lineRule="exact"/>
              <w:rPr>
                <w:sz w:val="20"/>
                <w:szCs w:val="20"/>
                <w:color w:val="auto"/>
              </w:rPr>
            </w:pPr>
            <w:r>
              <w:rPr>
                <w:rFonts w:ascii="Times New Roman" w:cs="Times New Roman" w:eastAsia="Times New Roman" w:hAnsi="Times New Roman"/>
                <w:sz w:val="16"/>
                <w:szCs w:val="16"/>
                <w:b w:val="1"/>
                <w:bCs w:val="1"/>
                <w:color w:val="auto"/>
                <w:w w:val="99"/>
              </w:rPr>
              <w:t>For the Six Months Ended</w:t>
            </w:r>
          </w:p>
        </w:tc>
      </w:tr>
      <w:tr>
        <w:trPr>
          <w:trHeight w:val="214"/>
        </w:trPr>
        <w:tc>
          <w:tcPr>
            <w:tcW w:w="7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Borders>
              <w:bottom w:val="single" w:sz="8" w:color="auto"/>
            </w:tcBorders>
          </w:tcPr>
          <w:p>
            <w:pPr>
              <w:spacing w:after="0"/>
              <w:rPr>
                <w:sz w:val="18"/>
                <w:szCs w:val="18"/>
                <w:color w:val="auto"/>
              </w:rPr>
            </w:pPr>
          </w:p>
        </w:tc>
      </w:tr>
      <w:tr>
        <w:trPr>
          <w:trHeight w:val="210"/>
        </w:trPr>
        <w:tc>
          <w:tcPr>
            <w:tcW w:w="7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7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
        </w:trPr>
        <w:tc>
          <w:tcPr>
            <w:tcW w:w="7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16"/>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INCLUDING NONCONTROLLING INTERESTS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r>
      <w:tr>
        <w:trPr>
          <w:trHeight w:val="213"/>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Pension and postretirement benefit plan</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INCLUDING NONCONTROLLING INTERESTS</w:t>
            </w: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w:t>
            </w: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791</w:t>
            </w:r>
          </w:p>
        </w:tc>
      </w:tr>
      <w:tr>
        <w:trPr>
          <w:trHeight w:val="219"/>
        </w:trPr>
        <w:tc>
          <w:tcPr>
            <w:tcW w:w="7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Comprehensive income attributable to 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07"/>
        </w:trPr>
        <w:tc>
          <w:tcPr>
            <w:tcW w:w="7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ATTRIBUTABLE TO COMMON STOCK</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r>
      <w:tr>
        <w:trPr>
          <w:trHeight w:val="23"/>
        </w:trPr>
        <w:tc>
          <w:tcPr>
            <w:tcW w:w="7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89"/>
        </w:trPr>
        <w:tc>
          <w:tcPr>
            <w:tcW w:w="8460" w:type="dxa"/>
            <w:vAlign w:val="bottom"/>
          </w:tcPr>
          <w:p>
            <w:pPr>
              <w:jc w:val="center"/>
              <w:ind w:left="2703"/>
              <w:spacing w:after="0"/>
              <w:rPr>
                <w:sz w:val="20"/>
                <w:szCs w:val="20"/>
                <w:color w:val="auto"/>
              </w:rPr>
            </w:pPr>
            <w:r>
              <w:rPr>
                <w:rFonts w:ascii="Times New Roman" w:cs="Times New Roman" w:eastAsia="Times New Roman" w:hAnsi="Times New Roman"/>
                <w:sz w:val="16"/>
                <w:szCs w:val="16"/>
                <w:b w:val="1"/>
                <w:bCs w:val="1"/>
                <w:color w:val="auto"/>
              </w:rPr>
              <w:t>APA CORPORATION AND SUBSIDIARIES</w:t>
            </w:r>
          </w:p>
        </w:tc>
        <w:tc>
          <w:tcPr>
            <w:tcW w:w="8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203"/>
        </w:trPr>
        <w:tc>
          <w:tcPr>
            <w:tcW w:w="8460" w:type="dxa"/>
            <w:vAlign w:val="bottom"/>
          </w:tcPr>
          <w:p>
            <w:pPr>
              <w:jc w:val="center"/>
              <w:ind w:left="2703"/>
              <w:spacing w:after="0"/>
              <w:rPr>
                <w:sz w:val="20"/>
                <w:szCs w:val="20"/>
                <w:color w:val="auto"/>
              </w:rPr>
            </w:pPr>
            <w:r>
              <w:rPr>
                <w:rFonts w:ascii="Times New Roman" w:cs="Times New Roman" w:eastAsia="Times New Roman" w:hAnsi="Times New Roman"/>
                <w:sz w:val="16"/>
                <w:szCs w:val="16"/>
                <w:b w:val="1"/>
                <w:bCs w:val="1"/>
                <w:color w:val="auto"/>
              </w:rPr>
              <w:t>STATEMENT OF CONSOLIDATED CASH FLOWS</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12"/>
        </w:trPr>
        <w:tc>
          <w:tcPr>
            <w:tcW w:w="8460" w:type="dxa"/>
            <w:vAlign w:val="bottom"/>
          </w:tcPr>
          <w:p>
            <w:pPr>
              <w:jc w:val="center"/>
              <w:ind w:left="2703"/>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181"/>
        </w:trPr>
        <w:tc>
          <w:tcPr>
            <w:tcW w:w="8460" w:type="dxa"/>
            <w:vAlign w:val="bottom"/>
          </w:tcPr>
          <w:p>
            <w:pPr>
              <w:spacing w:after="0"/>
              <w:rPr>
                <w:sz w:val="15"/>
                <w:szCs w:val="15"/>
                <w:color w:val="auto"/>
              </w:rPr>
            </w:pPr>
          </w:p>
        </w:tc>
        <w:tc>
          <w:tcPr>
            <w:tcW w:w="2300" w:type="dxa"/>
            <w:vAlign w:val="bottom"/>
            <w:gridSpan w:val="4"/>
          </w:tcPr>
          <w:p>
            <w:pPr>
              <w:jc w:val="center"/>
              <w:ind w:left="402"/>
              <w:spacing w:after="0" w:line="181" w:lineRule="exact"/>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480" w:type="dxa"/>
            <w:vAlign w:val="bottom"/>
          </w:tcPr>
          <w:p>
            <w:pPr>
              <w:spacing w:after="0"/>
              <w:rPr>
                <w:sz w:val="15"/>
                <w:szCs w:val="15"/>
                <w:color w:val="auto"/>
              </w:rPr>
            </w:pPr>
          </w:p>
        </w:tc>
      </w:tr>
      <w:tr>
        <w:trPr>
          <w:trHeight w:val="214"/>
        </w:trPr>
        <w:tc>
          <w:tcPr>
            <w:tcW w:w="84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28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r>
      <w:tr>
        <w:trPr>
          <w:trHeight w:val="210"/>
        </w:trPr>
        <w:tc>
          <w:tcPr>
            <w:tcW w:w="84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480" w:type="dxa"/>
            <w:vAlign w:val="bottom"/>
            <w:tcBorders>
              <w:bottom w:val="single" w:sz="8" w:color="auto"/>
            </w:tcBorders>
          </w:tcPr>
          <w:p>
            <w:pPr>
              <w:spacing w:after="0"/>
              <w:rPr>
                <w:sz w:val="18"/>
                <w:szCs w:val="18"/>
                <w:color w:val="auto"/>
              </w:rPr>
            </w:pPr>
          </w:p>
        </w:tc>
      </w:tr>
      <w:tr>
        <w:trPr>
          <w:trHeight w:val="215"/>
        </w:trPr>
        <w:tc>
          <w:tcPr>
            <w:tcW w:w="8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3"/>
          </w:tcPr>
          <w:p>
            <w:pPr>
              <w:jc w:val="center"/>
              <w:ind w:right="28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80" w:type="dxa"/>
            <w:vAlign w:val="bottom"/>
          </w:tcPr>
          <w:p>
            <w:pPr>
              <w:spacing w:after="0"/>
              <w:rPr>
                <w:sz w:val="18"/>
                <w:szCs w:val="18"/>
                <w:color w:val="auto"/>
              </w:rPr>
            </w:pPr>
          </w:p>
        </w:tc>
      </w:tr>
      <w:tr>
        <w:trPr>
          <w:trHeight w:val="23"/>
        </w:trPr>
        <w:tc>
          <w:tcPr>
            <w:tcW w:w="8460" w:type="dxa"/>
            <w:vAlign w:val="bottom"/>
          </w:tcPr>
          <w:p>
            <w:pPr>
              <w:spacing w:after="0"/>
              <w:rPr>
                <w:sz w:val="2"/>
                <w:szCs w:val="2"/>
                <w:color w:val="auto"/>
              </w:rPr>
            </w:pPr>
          </w:p>
        </w:tc>
        <w:tc>
          <w:tcPr>
            <w:tcW w:w="8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02"/>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Net income including noncontrolling interests</w:t>
            </w:r>
          </w:p>
        </w:tc>
        <w:tc>
          <w:tcPr>
            <w:tcW w:w="840" w:type="dxa"/>
            <w:vAlign w:val="bottom"/>
          </w:tcPr>
          <w:p>
            <w:pPr>
              <w:jc w:val="right"/>
              <w:ind w:right="662"/>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832</w:t>
            </w:r>
          </w:p>
        </w:tc>
        <w:tc>
          <w:tcPr>
            <w:tcW w:w="100" w:type="dxa"/>
            <w:vAlign w:val="bottom"/>
          </w:tcPr>
          <w:p>
            <w:pPr>
              <w:spacing w:after="0"/>
              <w:rPr>
                <w:sz w:val="17"/>
                <w:szCs w:val="17"/>
                <w:color w:val="auto"/>
              </w:rPr>
            </w:pP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Unrealized derivative instrument (gains) losses, net</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Gain on divestitures, net</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Exploratory dry hole expense and unproved leasehold impairments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Depreciation, depletion, and amortization</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699</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Asset retirement obligation accretion</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Impairments</w:t>
            </w:r>
          </w:p>
        </w:tc>
        <w:tc>
          <w:tcPr>
            <w:tcW w:w="8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Provision for (benefit from) deferred income taxes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Gain on extinguishment of debt</w:t>
            </w:r>
          </w:p>
        </w:tc>
        <w:tc>
          <w:tcPr>
            <w:tcW w:w="8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Loss on previously sold Gulf of Mexico properties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Other, net</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Changes in operating assets and liabilities:</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Receivables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Inventories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Drilling advances and other current assets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Deferred charges and other long-term assets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160</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Accounts payable</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(125)</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(112)</w:t>
            </w:r>
          </w:p>
        </w:tc>
      </w:tr>
      <w:tr>
        <w:trPr>
          <w:trHeight w:val="200"/>
        </w:trPr>
        <w:tc>
          <w:tcPr>
            <w:tcW w:w="84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Accrued expenses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(312)</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w:t>
            </w:r>
          </w:p>
        </w:tc>
      </w:tr>
      <w:tr>
        <w:trPr>
          <w:trHeight w:val="205"/>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5"/>
                <w:szCs w:val="15"/>
                <w:color w:val="auto"/>
              </w:rPr>
              <w:t>Deferred credits and noncurrent liabilities</w:t>
            </w:r>
          </w:p>
        </w:tc>
        <w:tc>
          <w:tcPr>
            <w:tcW w:w="8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(195)</w:t>
            </w:r>
          </w:p>
        </w:tc>
        <w:tc>
          <w:tcPr>
            <w:tcW w:w="100" w:type="dxa"/>
            <w:vAlign w:val="bottom"/>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(221)</w:t>
            </w:r>
          </w:p>
        </w:tc>
      </w:tr>
      <w:tr>
        <w:trPr>
          <w:trHeight w:val="194"/>
        </w:trPr>
        <w:tc>
          <w:tcPr>
            <w:tcW w:w="8460" w:type="dxa"/>
            <w:vAlign w:val="bottom"/>
          </w:tcPr>
          <w:p>
            <w:pPr>
              <w:ind w:left="54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8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1,245</w:t>
            </w: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1,335</w:t>
            </w:r>
          </w:p>
        </w:tc>
      </w:tr>
      <w:tr>
        <w:trPr>
          <w:trHeight w:val="205"/>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Additions to upstream oil and gas property</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(1,223)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(1,119)</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Leasehold and property acquisitions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asset divestitures</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729</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sale of Kinetik Shares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net</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(14)</w:t>
            </w:r>
          </w:p>
        </w:tc>
      </w:tr>
      <w:tr>
        <w:trPr>
          <w:trHeight w:val="198"/>
        </w:trPr>
        <w:tc>
          <w:tcPr>
            <w:tcW w:w="8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w:t>
            </w:r>
          </w:p>
        </w:tc>
      </w:tr>
      <w:tr>
        <w:trPr>
          <w:trHeight w:val="200"/>
        </w:trPr>
        <w:tc>
          <w:tcPr>
            <w:tcW w:w="84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Proceeds from commercial paper and revolving credit facilities, net</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196</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Proceeds from term loan facility</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1,500</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Payment on Callon Credit Agreement</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(472)</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Payments on fixed-rate debt</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(1,641)</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Distributions to noncontrolling interest</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(100)</w:t>
            </w: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Treasury stock activity, net</w:t>
            </w:r>
          </w:p>
        </w:tc>
        <w:tc>
          <w:tcPr>
            <w:tcW w:w="8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(144)</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Dividends paid to APA common stockholders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(168)</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w:t>
            </w:r>
          </w:p>
        </w:tc>
      </w:tr>
      <w:tr>
        <w:trPr>
          <w:trHeight w:val="200"/>
        </w:trPr>
        <w:tc>
          <w:tcPr>
            <w:tcW w:w="8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Other, net</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(11)</w:t>
            </w:r>
          </w:p>
        </w:tc>
      </w:tr>
      <w:tr>
        <w:trPr>
          <w:trHeight w:val="198"/>
        </w:trPr>
        <w:tc>
          <w:tcPr>
            <w:tcW w:w="84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(1,020)</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(323)</w:t>
            </w:r>
          </w:p>
        </w:tc>
      </w:tr>
      <w:tr>
        <w:trPr>
          <w:trHeight w:val="216"/>
        </w:trPr>
        <w:tc>
          <w:tcPr>
            <w:tcW w:w="84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0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NET INCREASE (DECREASE) IN CASH AND CASH EQUIVALENTS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w:t>
            </w:r>
          </w:p>
        </w:tc>
      </w:tr>
      <w:tr>
        <w:trPr>
          <w:trHeight w:val="200"/>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BEGINNING OF YEAR</w:t>
            </w:r>
          </w:p>
        </w:tc>
        <w:tc>
          <w:tcPr>
            <w:tcW w:w="8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87</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245</w:t>
            </w:r>
          </w:p>
        </w:tc>
      </w:tr>
      <w:tr>
        <w:trPr>
          <w:trHeight w:val="22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AT END OF PERIOD</w:t>
            </w:r>
          </w:p>
        </w:tc>
        <w:tc>
          <w:tcPr>
            <w:tcW w:w="840" w:type="dxa"/>
            <w:vAlign w:val="bottom"/>
            <w:tcBorders>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160</w:t>
            </w:r>
          </w:p>
        </w:tc>
        <w:tc>
          <w:tcPr>
            <w:tcW w:w="10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142</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r>
        <w:trPr>
          <w:trHeight w:val="165"/>
        </w:trPr>
        <w:tc>
          <w:tcPr>
            <w:tcW w:w="84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203"/>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SUPPLEMENTARY CASH FLOW DATA:</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00"/>
        </w:trPr>
        <w:tc>
          <w:tcPr>
            <w:tcW w:w="84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Interest paid, net of capitalized interest</w:t>
            </w:r>
          </w:p>
        </w:tc>
        <w:tc>
          <w:tcPr>
            <w:tcW w:w="840" w:type="dxa"/>
            <w:vAlign w:val="bottom"/>
          </w:tcPr>
          <w:p>
            <w:pPr>
              <w:jc w:val="right"/>
              <w:ind w:right="662"/>
              <w:spacing w:after="0"/>
              <w:rPr>
                <w:sz w:val="20"/>
                <w:szCs w:val="20"/>
                <w:color w:val="auto"/>
              </w:rPr>
            </w:pPr>
            <w:r>
              <w:rPr>
                <w:rFonts w:ascii="Times New Roman" w:cs="Times New Roman" w:eastAsia="Times New Roman" w:hAnsi="Times New Roman"/>
                <w:sz w:val="15"/>
                <w:szCs w:val="15"/>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w:t>
            </w:r>
          </w:p>
        </w:tc>
        <w:tc>
          <w:tcPr>
            <w:tcW w:w="100" w:type="dxa"/>
            <w:vAlign w:val="bottom"/>
          </w:tcPr>
          <w:p>
            <w:pPr>
              <w:spacing w:after="0"/>
              <w:rPr>
                <w:sz w:val="17"/>
                <w:szCs w:val="17"/>
                <w:color w:val="auto"/>
              </w:rPr>
            </w:pPr>
          </w:p>
        </w:tc>
        <w:tc>
          <w:tcPr>
            <w:tcW w:w="860" w:type="dxa"/>
            <w:vAlign w:val="bottom"/>
          </w:tcPr>
          <w:p>
            <w:pPr>
              <w:jc w:val="right"/>
              <w:ind w:right="682"/>
              <w:spacing w:after="0"/>
              <w:rPr>
                <w:sz w:val="20"/>
                <w:szCs w:val="20"/>
                <w:color w:val="auto"/>
              </w:rPr>
            </w:pPr>
            <w:r>
              <w:rPr>
                <w:rFonts w:ascii="Times New Roman" w:cs="Times New Roman" w:eastAsia="Times New Roman" w:hAnsi="Times New Roman"/>
                <w:sz w:val="15"/>
                <w:szCs w:val="15"/>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168</w:t>
            </w:r>
          </w:p>
        </w:tc>
      </w:tr>
      <w:tr>
        <w:trPr>
          <w:trHeight w:val="205"/>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Income taxes paid, net of refunds</w:t>
            </w:r>
          </w:p>
        </w:tc>
        <w:tc>
          <w:tcPr>
            <w:tcW w:w="8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566</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476</w:t>
            </w:r>
          </w:p>
        </w:tc>
      </w:tr>
    </w:tbl>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9"/>
        </w:trPr>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420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APA CORPORATION AND SUBSIDIARIES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3"/>
        </w:trPr>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4200" w:type="dxa"/>
            <w:vAlign w:val="bottom"/>
            <w:gridSpan w:val="4"/>
          </w:tcPr>
          <w:p>
            <w:pPr>
              <w:jc w:val="center"/>
              <w:ind w:right="1399"/>
              <w:spacing w:after="0"/>
              <w:rPr>
                <w:sz w:val="20"/>
                <w:szCs w:val="20"/>
                <w:color w:val="auto"/>
              </w:rPr>
            </w:pPr>
            <w:r>
              <w:rPr>
                <w:rFonts w:ascii="Times New Roman" w:cs="Times New Roman" w:eastAsia="Times New Roman" w:hAnsi="Times New Roman"/>
                <w:sz w:val="16"/>
                <w:szCs w:val="16"/>
                <w:b w:val="1"/>
                <w:bCs w:val="1"/>
                <w:color w:val="auto"/>
              </w:rPr>
              <w:t>CONSOLIDATED BALANCE SHEET</w:t>
            </w: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12"/>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jc w:val="center"/>
              <w:ind w:right="2179"/>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181"/>
        </w:trPr>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5"/>
                <w:szCs w:val="15"/>
                <w:color w:val="auto"/>
              </w:rPr>
            </w:pPr>
          </w:p>
        </w:tc>
        <w:tc>
          <w:tcPr>
            <w:tcW w:w="1180" w:type="dxa"/>
            <w:vAlign w:val="bottom"/>
          </w:tcPr>
          <w:p>
            <w:pPr>
              <w:jc w:val="right"/>
              <w:ind w:right="119"/>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4"/>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r>
      <w:tr>
        <w:trPr>
          <w:trHeight w:val="23"/>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16"/>
        </w:trPr>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20" w:type="dxa"/>
            <w:vAlign w:val="bottom"/>
            <w:gridSpan w:val="5"/>
            <w:shd w:val="clear" w:color="auto" w:fill="CCEEFF"/>
          </w:tcPr>
          <w:p>
            <w:pPr>
              <w:jc w:val="center"/>
              <w:ind w:right="2459"/>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8460" w:type="dxa"/>
            <w:vAlign w:val="bottom"/>
            <w:gridSpan w:val="19"/>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9"/>
        </w:trPr>
        <w:tc>
          <w:tcPr>
            <w:tcW w:w="8460" w:type="dxa"/>
            <w:vAlign w:val="bottom"/>
            <w:gridSpan w:val="19"/>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8460" w:type="dxa"/>
            <w:vAlign w:val="bottom"/>
            <w:gridSpan w:val="19"/>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$122 and $114</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w:t>
            </w:r>
          </w:p>
        </w:tc>
      </w:tr>
      <w:tr>
        <w:trPr>
          <w:trHeight w:val="219"/>
        </w:trPr>
        <w:tc>
          <w:tcPr>
            <w:tcW w:w="8460" w:type="dxa"/>
            <w:vAlign w:val="bottom"/>
            <w:gridSpan w:val="19"/>
            <w:shd w:val="clear" w:color="auto" w:fill="CCEEFF"/>
          </w:tcPr>
          <w:p>
            <w:pPr>
              <w:ind w:left="140"/>
              <w:spacing w:after="0" w:line="178" w:lineRule="exact"/>
              <w:rPr>
                <w:sz w:val="20"/>
                <w:szCs w:val="20"/>
                <w:color w:val="auto"/>
              </w:rPr>
            </w:pPr>
            <w:r>
              <w:rPr>
                <w:rFonts w:ascii="Times New Roman" w:cs="Times New Roman" w:eastAsia="Times New Roman" w:hAnsi="Times New Roman"/>
                <w:sz w:val="16"/>
                <w:szCs w:val="16"/>
                <w:color w:val="auto"/>
              </w:rPr>
              <w:t>Other current assets (</w:t>
            </w:r>
            <w:r>
              <w:rPr>
                <w:rFonts w:ascii="Times New Roman" w:cs="Times New Roman" w:eastAsia="Times New Roman" w:hAnsi="Times New Roman"/>
                <w:sz w:val="16"/>
                <w:szCs w:val="16"/>
                <w:color w:val="0000FF"/>
              </w:rPr>
              <w:t>Note 5</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line="178" w:lineRule="exact"/>
              <w:rPr>
                <w:sz w:val="20"/>
                <w:szCs w:val="20"/>
                <w:color w:val="auto"/>
              </w:rPr>
            </w:pPr>
            <w:r>
              <w:rPr>
                <w:rFonts w:ascii="Times New Roman" w:cs="Times New Roman" w:eastAsia="Times New Roman" w:hAnsi="Times New Roman"/>
                <w:sz w:val="16"/>
                <w:szCs w:val="16"/>
                <w:color w:val="auto"/>
              </w:rPr>
              <w:t>765</w:t>
            </w:r>
          </w:p>
        </w:tc>
      </w:tr>
      <w:tr>
        <w:trPr>
          <w:trHeight w:val="207"/>
        </w:trPr>
        <w:tc>
          <w:tcPr>
            <w:tcW w:w="1420" w:type="dxa"/>
            <w:vAlign w:val="bottom"/>
            <w:tcBorders>
              <w:top w:val="single" w:sz="8" w:color="CCEEFF"/>
              <w:bottom w:val="single" w:sz="8" w:color="CCEEFF"/>
            </w:tcBorders>
          </w:tcPr>
          <w:p>
            <w:pPr>
              <w:spacing w:after="0"/>
              <w:rPr>
                <w:sz w:val="17"/>
                <w:szCs w:val="17"/>
                <w:color w:val="auto"/>
              </w:rPr>
            </w:pPr>
          </w:p>
        </w:tc>
        <w:tc>
          <w:tcPr>
            <w:tcW w:w="10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0000FF"/>
              <w:bottom w:val="single" w:sz="8" w:color="CCEEFF"/>
            </w:tcBorders>
          </w:tcPr>
          <w:p>
            <w:pPr>
              <w:spacing w:after="0"/>
              <w:rPr>
                <w:sz w:val="17"/>
                <w:szCs w:val="17"/>
                <w:color w:val="auto"/>
              </w:rPr>
            </w:pPr>
          </w:p>
        </w:tc>
        <w:tc>
          <w:tcPr>
            <w:tcW w:w="60" w:type="dxa"/>
            <w:vAlign w:val="bottom"/>
            <w:tcBorders>
              <w:top w:val="single" w:sz="8" w:color="0000FF"/>
              <w:bottom w:val="single" w:sz="8" w:color="CCEEFF"/>
            </w:tcBorders>
          </w:tcPr>
          <w:p>
            <w:pPr>
              <w:spacing w:after="0"/>
              <w:rPr>
                <w:sz w:val="17"/>
                <w:szCs w:val="17"/>
                <w:color w:val="auto"/>
              </w:rPr>
            </w:pPr>
          </w:p>
        </w:tc>
        <w:tc>
          <w:tcPr>
            <w:tcW w:w="160" w:type="dxa"/>
            <w:vAlign w:val="bottom"/>
            <w:tcBorders>
              <w:top w:val="single" w:sz="8" w:color="0000FF"/>
              <w:bottom w:val="single" w:sz="8" w:color="CCEEFF"/>
            </w:tcBorders>
          </w:tcPr>
          <w:p>
            <w:pPr>
              <w:spacing w:after="0"/>
              <w:rPr>
                <w:sz w:val="17"/>
                <w:szCs w:val="17"/>
                <w:color w:val="auto"/>
              </w:rPr>
            </w:pPr>
          </w:p>
        </w:tc>
        <w:tc>
          <w:tcPr>
            <w:tcW w:w="20" w:type="dxa"/>
            <w:vAlign w:val="bottom"/>
            <w:tcBorders>
              <w:top w:val="single" w:sz="8" w:color="0000FF"/>
              <w:bottom w:val="single" w:sz="8" w:color="CCEEFF"/>
            </w:tcBorders>
          </w:tcPr>
          <w:p>
            <w:pPr>
              <w:spacing w:after="0"/>
              <w:rPr>
                <w:sz w:val="17"/>
                <w:szCs w:val="17"/>
                <w:color w:val="auto"/>
              </w:rPr>
            </w:pPr>
          </w:p>
        </w:tc>
        <w:tc>
          <w:tcPr>
            <w:tcW w:w="140" w:type="dxa"/>
            <w:vAlign w:val="bottom"/>
            <w:tcBorders>
              <w:top w:val="single" w:sz="8" w:color="0000FF"/>
              <w:bottom w:val="single" w:sz="8" w:color="CCEEFF"/>
            </w:tcBorders>
          </w:tcPr>
          <w:p>
            <w:pPr>
              <w:spacing w:after="0"/>
              <w:rPr>
                <w:sz w:val="17"/>
                <w:szCs w:val="17"/>
                <w:color w:val="auto"/>
              </w:rPr>
            </w:pPr>
          </w:p>
        </w:tc>
        <w:tc>
          <w:tcPr>
            <w:tcW w:w="40" w:type="dxa"/>
            <w:vAlign w:val="bottom"/>
            <w:tcBorders>
              <w:top w:val="single" w:sz="8" w:color="0000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2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CCEEFF"/>
              <w:bottom w:val="single" w:sz="8" w:color="CCEEFF"/>
            </w:tcBorders>
          </w:tcPr>
          <w:p>
            <w:pPr>
              <w:spacing w:after="0"/>
              <w:rPr>
                <w:sz w:val="17"/>
                <w:szCs w:val="17"/>
                <w:color w:val="auto"/>
              </w:rPr>
            </w:pPr>
          </w:p>
        </w:tc>
        <w:tc>
          <w:tcPr>
            <w:tcW w:w="60" w:type="dxa"/>
            <w:vAlign w:val="bottom"/>
            <w:tcBorders>
              <w:top w:val="single" w:sz="8" w:color="CCEEFF"/>
              <w:bottom w:val="single" w:sz="8" w:color="CCEEFF"/>
            </w:tcBorders>
          </w:tcPr>
          <w:p>
            <w:pPr>
              <w:spacing w:after="0"/>
              <w:rPr>
                <w:sz w:val="17"/>
                <w:szCs w:val="17"/>
                <w:color w:val="auto"/>
              </w:rPr>
            </w:pPr>
          </w:p>
        </w:tc>
        <w:tc>
          <w:tcPr>
            <w:tcW w:w="4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CCEEFF"/>
              <w:bottom w:val="single" w:sz="8" w:color="CCEEFF"/>
            </w:tcBorders>
          </w:tcPr>
          <w:p>
            <w:pPr>
              <w:spacing w:after="0"/>
              <w:rPr>
                <w:sz w:val="17"/>
                <w:szCs w:val="17"/>
                <w:color w:val="auto"/>
              </w:rPr>
            </w:pPr>
          </w:p>
        </w:tc>
        <w:tc>
          <w:tcPr>
            <w:tcW w:w="182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CCEEFF"/>
              <w:bottom w:val="single" w:sz="8" w:color="CCEEFF"/>
            </w:tcBorders>
          </w:tcPr>
          <w:p>
            <w:pPr>
              <w:spacing w:after="0"/>
              <w:rPr>
                <w:sz w:val="17"/>
                <w:szCs w:val="17"/>
                <w:color w:val="auto"/>
              </w:rPr>
            </w:pPr>
          </w:p>
        </w:tc>
        <w:tc>
          <w:tcPr>
            <w:tcW w:w="280" w:type="dxa"/>
            <w:vAlign w:val="bottom"/>
            <w:tcBorders>
              <w:top w:val="single" w:sz="8" w:color="CCEEFF"/>
              <w:bottom w:val="single" w:sz="8" w:color="CCEEFF"/>
            </w:tcBorders>
          </w:tcPr>
          <w:p>
            <w:pPr>
              <w:spacing w:after="0"/>
              <w:rPr>
                <w:sz w:val="17"/>
                <w:szCs w:val="17"/>
                <w:color w:val="auto"/>
              </w:rPr>
            </w:pPr>
          </w:p>
        </w:tc>
        <w:tc>
          <w:tcPr>
            <w:tcW w:w="342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2,918</w:t>
            </w:r>
          </w:p>
        </w:tc>
        <w:tc>
          <w:tcPr>
            <w:tcW w:w="100" w:type="dxa"/>
            <w:vAlign w:val="bottom"/>
            <w:tcBorders>
              <w:top w:val="single" w:sz="8" w:color="CCEEFF"/>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2,462</w:t>
            </w:r>
          </w:p>
        </w:tc>
      </w:tr>
      <w:tr>
        <w:trPr>
          <w:trHeight w:val="199"/>
        </w:trPr>
        <w:tc>
          <w:tcPr>
            <w:tcW w:w="846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460" w:type="dxa"/>
            <w:vAlign w:val="bottom"/>
            <w:gridSpan w:val="19"/>
          </w:tcPr>
          <w:p>
            <w:pPr>
              <w:ind w:left="140"/>
              <w:spacing w:after="0"/>
              <w:rPr>
                <w:sz w:val="20"/>
                <w:szCs w:val="20"/>
                <w:color w:val="auto"/>
              </w:rPr>
            </w:pPr>
            <w:r>
              <w:rPr>
                <w:rFonts w:ascii="Times New Roman" w:cs="Times New Roman" w:eastAsia="Times New Roman" w:hAnsi="Times New Roman"/>
                <w:sz w:val="16"/>
                <w:szCs w:val="16"/>
                <w:color w:val="auto"/>
              </w:rPr>
              <w:t>Oil and gas properties</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44,860</w:t>
            </w:r>
          </w:p>
        </w:tc>
      </w:tr>
      <w:tr>
        <w:trPr>
          <w:trHeight w:val="219"/>
        </w:trPr>
        <w:tc>
          <w:tcPr>
            <w:tcW w:w="8460" w:type="dxa"/>
            <w:vAlign w:val="bottom"/>
            <w:gridSpan w:val="19"/>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Gathering, processing, and transmission facilities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r>
      <w:tr>
        <w:trPr>
          <w:trHeight w:val="213"/>
        </w:trPr>
        <w:tc>
          <w:tcPr>
            <w:tcW w:w="8460" w:type="dxa"/>
            <w:vAlign w:val="bottom"/>
            <w:gridSpan w:val="19"/>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w:t>
            </w:r>
          </w:p>
        </w:tc>
      </w:tr>
      <w:tr>
        <w:trPr>
          <w:trHeight w:val="216"/>
        </w:trPr>
        <w:tc>
          <w:tcPr>
            <w:tcW w:w="8460" w:type="dxa"/>
            <w:vAlign w:val="bottom"/>
            <w:gridSpan w:val="19"/>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Accumulated depreciation, depletion, and amortization</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(35,944)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(35,904)</w:t>
            </w:r>
          </w:p>
        </w:tc>
      </w:tr>
      <w:tr>
        <w:trPr>
          <w:trHeight w:val="210"/>
        </w:trPr>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14,456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10,038</w:t>
            </w:r>
          </w:p>
        </w:tc>
      </w:tr>
      <w:tr>
        <w:trPr>
          <w:trHeight w:val="199"/>
        </w:trPr>
        <w:tc>
          <w:tcPr>
            <w:tcW w:w="846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75"/>
        </w:trPr>
        <w:tc>
          <w:tcPr>
            <w:tcW w:w="8460" w:type="dxa"/>
            <w:vAlign w:val="bottom"/>
            <w:gridSpan w:val="19"/>
          </w:tcPr>
          <w:p>
            <w:pPr>
              <w:ind w:left="140"/>
              <w:spacing w:after="0" w:line="175" w:lineRule="exact"/>
              <w:rPr>
                <w:sz w:val="20"/>
                <w:szCs w:val="20"/>
                <w:color w:val="auto"/>
              </w:rPr>
            </w:pPr>
            <w:r>
              <w:rPr>
                <w:rFonts w:ascii="Times New Roman" w:cs="Times New Roman" w:eastAsia="Times New Roman" w:hAnsi="Times New Roman"/>
                <w:sz w:val="16"/>
                <w:szCs w:val="16"/>
                <w:color w:val="auto"/>
              </w:rPr>
              <w:t>Equity method interests (</w:t>
            </w:r>
            <w:r>
              <w:rPr>
                <w:rFonts w:ascii="Times New Roman" w:cs="Times New Roman" w:eastAsia="Times New Roman" w:hAnsi="Times New Roman"/>
                <w:sz w:val="16"/>
                <w:szCs w:val="16"/>
                <w:color w:val="0000FF"/>
              </w:rPr>
              <w:t>Note 6</w:t>
            </w: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20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437</w:t>
            </w:r>
          </w:p>
        </w:tc>
      </w:tr>
      <w:tr>
        <w:trPr>
          <w:trHeight w:val="21"/>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8460" w:type="dxa"/>
            <w:vAlign w:val="bottom"/>
            <w:gridSpan w:val="19"/>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Decommissioning security for sold Gulf of Mexico properties (</w:t>
            </w:r>
            <w:r>
              <w:rPr>
                <w:rFonts w:ascii="Times New Roman" w:cs="Times New Roman" w:eastAsia="Times New Roman" w:hAnsi="Times New Roman"/>
                <w:sz w:val="16"/>
                <w:szCs w:val="16"/>
                <w:color w:val="0000FF"/>
              </w:rPr>
              <w:t>Note 11</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21</w:t>
            </w:r>
          </w:p>
        </w:tc>
      </w:tr>
      <w:tr>
        <w:trPr>
          <w:trHeight w:val="176"/>
        </w:trPr>
        <w:tc>
          <w:tcPr>
            <w:tcW w:w="4260" w:type="dxa"/>
            <w:vAlign w:val="bottom"/>
            <w:tcBorders>
              <w:top w:val="single" w:sz="8" w:color="CCEEFF"/>
            </w:tcBorders>
            <w:gridSpan w:val="15"/>
          </w:tcPr>
          <w:p>
            <w:pPr>
              <w:ind w:left="140"/>
              <w:spacing w:after="0" w:line="175" w:lineRule="exact"/>
              <w:rPr>
                <w:sz w:val="20"/>
                <w:szCs w:val="20"/>
                <w:color w:val="auto"/>
              </w:rPr>
            </w:pPr>
            <w:r>
              <w:rPr>
                <w:rFonts w:ascii="Times New Roman" w:cs="Times New Roman" w:eastAsia="Times New Roman" w:hAnsi="Times New Roman"/>
                <w:sz w:val="16"/>
                <w:szCs w:val="16"/>
                <w:color w:val="auto"/>
              </w:rPr>
              <w:t>Deferred tax asset (</w:t>
            </w:r>
            <w:r>
              <w:rPr>
                <w:rFonts w:ascii="Times New Roman" w:cs="Times New Roman" w:eastAsia="Times New Roman" w:hAnsi="Times New Roman"/>
                <w:sz w:val="16"/>
                <w:szCs w:val="16"/>
                <w:color w:val="0000FF"/>
              </w:rPr>
              <w:t>Note 10</w:t>
            </w:r>
            <w:r>
              <w:rPr>
                <w:rFonts w:ascii="Times New Roman" w:cs="Times New Roman" w:eastAsia="Times New Roman" w:hAnsi="Times New Roman"/>
                <w:sz w:val="16"/>
                <w:szCs w:val="16"/>
                <w:color w:val="auto"/>
              </w:rPr>
              <w:t>)</w:t>
            </w:r>
          </w:p>
        </w:tc>
        <w:tc>
          <w:tcPr>
            <w:tcW w:w="500" w:type="dxa"/>
            <w:vAlign w:val="bottom"/>
            <w:tcBorders>
              <w:top w:val="single" w:sz="8" w:color="0000FF"/>
            </w:tcBorders>
            <w:gridSpan w:val="2"/>
          </w:tcPr>
          <w:p>
            <w:pPr>
              <w:spacing w:after="0"/>
              <w:rPr>
                <w:sz w:val="15"/>
                <w:szCs w:val="15"/>
                <w:color w:val="auto"/>
              </w:rPr>
            </w:pPr>
          </w:p>
        </w:tc>
        <w:tc>
          <w:tcPr>
            <w:tcW w:w="3700" w:type="dxa"/>
            <w:vAlign w:val="bottom"/>
            <w:tcBorders>
              <w:top w:val="single" w:sz="8" w:color="CCEEFF"/>
            </w:tcBorders>
            <w:gridSpan w:val="2"/>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2,259</w:t>
            </w:r>
          </w:p>
        </w:tc>
        <w:tc>
          <w:tcPr>
            <w:tcW w:w="10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1,758</w:t>
            </w:r>
          </w:p>
        </w:tc>
      </w:tr>
      <w:tr>
        <w:trPr>
          <w:trHeight w:val="20"/>
        </w:trPr>
        <w:tc>
          <w:tcPr>
            <w:tcW w:w="142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3"/>
        </w:trPr>
        <w:tc>
          <w:tcPr>
            <w:tcW w:w="8460" w:type="dxa"/>
            <w:vAlign w:val="bottom"/>
            <w:gridSpan w:val="19"/>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charges and other</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r>
      <w:tr>
        <w:trPr>
          <w:trHeight w:val="210"/>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15,244</w:t>
            </w:r>
          </w:p>
        </w:tc>
      </w:tr>
      <w:tr>
        <w:trPr>
          <w:trHeight w:val="20"/>
        </w:trPr>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6"/>
        </w:trPr>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214"/>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80" w:type="dxa"/>
            <w:vAlign w:val="bottom"/>
            <w:gridSpan w:val="13"/>
          </w:tcPr>
          <w:p>
            <w:pPr>
              <w:jc w:val="center"/>
              <w:ind w:right="1799"/>
              <w:spacing w:after="0"/>
              <w:rPr>
                <w:sz w:val="20"/>
                <w:szCs w:val="20"/>
                <w:color w:val="auto"/>
              </w:rPr>
            </w:pPr>
            <w:r>
              <w:rPr>
                <w:rFonts w:ascii="Times New Roman" w:cs="Times New Roman" w:eastAsia="Times New Roman" w:hAnsi="Times New Roman"/>
                <w:sz w:val="16"/>
                <w:szCs w:val="16"/>
                <w:b w:val="1"/>
                <w:bCs w:val="1"/>
                <w:color w:val="auto"/>
              </w:rPr>
              <w:t>LIABILITIES, NONCONTROLLING INTERESTS, AND EQUITY</w:t>
            </w: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8"/>
        </w:trPr>
        <w:tc>
          <w:tcPr>
            <w:tcW w:w="846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3"/>
        </w:trPr>
        <w:tc>
          <w:tcPr>
            <w:tcW w:w="8460" w:type="dxa"/>
            <w:vAlign w:val="bottom"/>
            <w:gridSpan w:val="19"/>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658</w:t>
            </w:r>
          </w:p>
        </w:tc>
      </w:tr>
      <w:tr>
        <w:trPr>
          <w:trHeight w:val="219"/>
        </w:trPr>
        <w:tc>
          <w:tcPr>
            <w:tcW w:w="8460" w:type="dxa"/>
            <w:vAlign w:val="bottom"/>
            <w:gridSpan w:val="19"/>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debt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175"/>
        </w:trPr>
        <w:tc>
          <w:tcPr>
            <w:tcW w:w="8460" w:type="dxa"/>
            <w:vAlign w:val="bottom"/>
            <w:gridSpan w:val="19"/>
          </w:tcPr>
          <w:p>
            <w:pPr>
              <w:ind w:left="140"/>
              <w:spacing w:after="0" w:line="175" w:lineRule="exact"/>
              <w:rPr>
                <w:sz w:val="20"/>
                <w:szCs w:val="20"/>
                <w:color w:val="auto"/>
              </w:rPr>
            </w:pPr>
            <w:r>
              <w:rPr>
                <w:rFonts w:ascii="Times New Roman" w:cs="Times New Roman" w:eastAsia="Times New Roman" w:hAnsi="Times New Roman"/>
                <w:sz w:val="16"/>
                <w:szCs w:val="16"/>
                <w:color w:val="auto"/>
              </w:rPr>
              <w:t>Other current liabilities (</w:t>
            </w:r>
            <w:r>
              <w:rPr>
                <w:rFonts w:ascii="Times New Roman" w:cs="Times New Roman" w:eastAsia="Times New Roman" w:hAnsi="Times New Roman"/>
                <w:sz w:val="16"/>
                <w:szCs w:val="16"/>
                <w:color w:val="0000FF"/>
              </w:rPr>
              <w:t>Note 7</w:t>
            </w: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1,875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1,744</w:t>
            </w:r>
          </w:p>
        </w:tc>
      </w:tr>
      <w:tr>
        <w:trPr>
          <w:trHeight w:val="20"/>
        </w:trPr>
        <w:tc>
          <w:tcPr>
            <w:tcW w:w="1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140" w:type="dxa"/>
            <w:vAlign w:val="bottom"/>
            <w:tcBorders>
              <w:top w:val="single" w:sz="8" w:color="0000FF"/>
              <w:bottom w:val="single" w:sz="8" w:color="CCEEFF"/>
            </w:tcBorders>
          </w:tcPr>
          <w:p>
            <w:pPr>
              <w:spacing w:after="0" w:line="20" w:lineRule="exact"/>
              <w:rPr>
                <w:sz w:val="1"/>
                <w:szCs w:val="1"/>
                <w:color w:val="auto"/>
              </w:rPr>
            </w:pPr>
          </w:p>
        </w:tc>
        <w:tc>
          <w:tcPr>
            <w:tcW w:w="40" w:type="dxa"/>
            <w:vAlign w:val="bottom"/>
            <w:tcBorders>
              <w:top w:val="single" w:sz="8" w:color="0000FF"/>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20" w:type="dxa"/>
            <w:vAlign w:val="bottom"/>
            <w:tcBorders>
              <w:top w:val="single" w:sz="8" w:color="0000FF"/>
              <w:bottom w:val="single" w:sz="8" w:color="CCEEFF"/>
            </w:tcBorders>
          </w:tcPr>
          <w:p>
            <w:pPr>
              <w:spacing w:after="0" w:line="20" w:lineRule="exact"/>
              <w:rPr>
                <w:sz w:val="1"/>
                <w:szCs w:val="1"/>
                <w:color w:val="auto"/>
              </w:rPr>
            </w:pPr>
          </w:p>
        </w:tc>
        <w:tc>
          <w:tcPr>
            <w:tcW w:w="120" w:type="dxa"/>
            <w:vAlign w:val="bottom"/>
            <w:tcBorders>
              <w:top w:val="single" w:sz="8" w:color="0000FF"/>
              <w:bottom w:val="single" w:sz="8" w:color="CCEEFF"/>
            </w:tcBorders>
          </w:tcPr>
          <w:p>
            <w:pPr>
              <w:spacing w:after="0" w:line="20" w:lineRule="exact"/>
              <w:rPr>
                <w:sz w:val="1"/>
                <w:szCs w:val="1"/>
                <w:color w:val="auto"/>
              </w:rPr>
            </w:pPr>
          </w:p>
        </w:tc>
        <w:tc>
          <w:tcPr>
            <w:tcW w:w="60" w:type="dxa"/>
            <w:vAlign w:val="bottom"/>
            <w:tcBorders>
              <w:top w:val="single" w:sz="8" w:color="0000FF"/>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10"/>
        </w:trPr>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2,404</w:t>
            </w:r>
          </w:p>
        </w:tc>
      </w:tr>
      <w:tr>
        <w:trPr>
          <w:trHeight w:val="155"/>
        </w:trPr>
        <w:tc>
          <w:tcPr>
            <w:tcW w:w="8460" w:type="dxa"/>
            <w:vAlign w:val="bottom"/>
            <w:gridSpan w:val="19"/>
          </w:tcPr>
          <w:p>
            <w:pPr>
              <w:ind w:left="20"/>
              <w:spacing w:after="0" w:line="136" w:lineRule="exact"/>
              <w:rPr>
                <w:sz w:val="20"/>
                <w:szCs w:val="20"/>
                <w:color w:val="auto"/>
              </w:rPr>
            </w:pPr>
            <w:r>
              <w:rPr>
                <w:rFonts w:ascii="Times New Roman" w:cs="Times New Roman" w:eastAsia="Times New Roman" w:hAnsi="Times New Roman"/>
                <w:sz w:val="15"/>
                <w:szCs w:val="15"/>
                <w:color w:val="auto"/>
              </w:rPr>
              <w:t>LONG-TERM DEBT (</w:t>
            </w:r>
            <w:r>
              <w:rPr>
                <w:rFonts w:ascii="Times New Roman" w:cs="Times New Roman" w:eastAsia="Times New Roman" w:hAnsi="Times New Roman"/>
                <w:sz w:val="15"/>
                <w:szCs w:val="15"/>
                <w:color w:val="0000FF"/>
              </w:rPr>
              <w:t>Note 9</w:t>
            </w:r>
            <w:r>
              <w:rPr>
                <w:rFonts w:ascii="Times New Roman" w:cs="Times New Roman" w:eastAsia="Times New Roman" w:hAnsi="Times New Roman"/>
                <w:sz w:val="15"/>
                <w:szCs w:val="15"/>
                <w:color w:val="auto"/>
              </w:rPr>
              <w:t>)</w:t>
            </w:r>
          </w:p>
        </w:tc>
        <w:tc>
          <w:tcPr>
            <w:tcW w:w="240" w:type="dxa"/>
            <w:vAlign w:val="bottom"/>
          </w:tcPr>
          <w:p>
            <w:pPr>
              <w:spacing w:after="0"/>
              <w:rPr>
                <w:sz w:val="13"/>
                <w:szCs w:val="13"/>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6,741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5,186</w:t>
            </w:r>
          </w:p>
        </w:tc>
      </w:tr>
      <w:tr>
        <w:trPr>
          <w:trHeight w:val="34"/>
        </w:trPr>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top w:val="single" w:sz="8" w:color="0000FF"/>
              <w:bottom w:val="single" w:sz="8" w:color="CCEEFF"/>
            </w:tcBorders>
          </w:tcPr>
          <w:p>
            <w:pPr>
              <w:spacing w:after="0"/>
              <w:rPr>
                <w:sz w:val="2"/>
                <w:szCs w:val="2"/>
                <w:color w:val="auto"/>
              </w:rPr>
            </w:pPr>
          </w:p>
        </w:tc>
        <w:tc>
          <w:tcPr>
            <w:tcW w:w="160" w:type="dxa"/>
            <w:vAlign w:val="bottom"/>
            <w:tcBorders>
              <w:top w:val="single" w:sz="8" w:color="0000FF"/>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40" w:type="dxa"/>
            <w:vAlign w:val="bottom"/>
            <w:tcBorders>
              <w:top w:val="single" w:sz="8" w:color="0000FF"/>
              <w:bottom w:val="single" w:sz="8" w:color="CCEEFF"/>
            </w:tcBorders>
          </w:tcPr>
          <w:p>
            <w:pPr>
              <w:spacing w:after="0"/>
              <w:rPr>
                <w:sz w:val="2"/>
                <w:szCs w:val="2"/>
                <w:color w:val="auto"/>
              </w:rPr>
            </w:pPr>
          </w:p>
        </w:tc>
        <w:tc>
          <w:tcPr>
            <w:tcW w:w="40" w:type="dxa"/>
            <w:vAlign w:val="bottom"/>
            <w:tcBorders>
              <w:top w:val="single" w:sz="8" w:color="0000FF"/>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6"/>
        </w:trPr>
        <w:tc>
          <w:tcPr>
            <w:tcW w:w="846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CREDITS AND OTHER NONCURRENT LIABILITIES: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175"/>
        </w:trPr>
        <w:tc>
          <w:tcPr>
            <w:tcW w:w="8460" w:type="dxa"/>
            <w:vAlign w:val="bottom"/>
            <w:gridSpan w:val="19"/>
          </w:tcPr>
          <w:p>
            <w:pPr>
              <w:ind w:left="140"/>
              <w:spacing w:after="0" w:line="175" w:lineRule="exact"/>
              <w:rPr>
                <w:sz w:val="20"/>
                <w:szCs w:val="20"/>
                <w:color w:val="auto"/>
              </w:rPr>
            </w:pPr>
            <w:r>
              <w:rPr>
                <w:rFonts w:ascii="Times New Roman" w:cs="Times New Roman" w:eastAsia="Times New Roman" w:hAnsi="Times New Roman"/>
                <w:sz w:val="16"/>
                <w:szCs w:val="16"/>
                <w:color w:val="auto"/>
              </w:rPr>
              <w:t>Deferred tax liability (</w:t>
            </w:r>
            <w:r>
              <w:rPr>
                <w:rFonts w:ascii="Times New Roman" w:cs="Times New Roman" w:eastAsia="Times New Roman" w:hAnsi="Times New Roman"/>
                <w:sz w:val="16"/>
                <w:szCs w:val="16"/>
                <w:color w:val="0000FF"/>
              </w:rPr>
              <w:t>Note 10</w:t>
            </w: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256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371</w:t>
            </w: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75"/>
        </w:trPr>
        <w:tc>
          <w:tcPr>
            <w:tcW w:w="8460" w:type="dxa"/>
            <w:vAlign w:val="bottom"/>
            <w:gridSpan w:val="19"/>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Asset retirement obligation (</w:t>
            </w:r>
            <w:r>
              <w:rPr>
                <w:rFonts w:ascii="Times New Roman" w:cs="Times New Roman" w:eastAsia="Times New Roman" w:hAnsi="Times New Roman"/>
                <w:sz w:val="16"/>
                <w:szCs w:val="16"/>
                <w:color w:val="0000FF"/>
              </w:rPr>
              <w:t>Note 8</w:t>
            </w: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2,515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2,362</w:t>
            </w:r>
          </w:p>
        </w:tc>
      </w:tr>
      <w:tr>
        <w:trPr>
          <w:trHeight w:val="21"/>
        </w:trPr>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8460" w:type="dxa"/>
            <w:vAlign w:val="bottom"/>
            <w:gridSpan w:val="19"/>
          </w:tcPr>
          <w:p>
            <w:pPr>
              <w:ind w:left="140"/>
              <w:spacing w:after="0" w:line="175" w:lineRule="exact"/>
              <w:rPr>
                <w:sz w:val="20"/>
                <w:szCs w:val="20"/>
                <w:color w:val="auto"/>
              </w:rPr>
            </w:pPr>
            <w:r>
              <w:rPr>
                <w:rFonts w:ascii="Times New Roman" w:cs="Times New Roman" w:eastAsia="Times New Roman" w:hAnsi="Times New Roman"/>
                <w:sz w:val="16"/>
                <w:szCs w:val="16"/>
                <w:color w:val="auto"/>
              </w:rPr>
              <w:t>Decommissioning contingency for sold Gulf of Mexico properties (</w:t>
            </w:r>
            <w:r>
              <w:rPr>
                <w:rFonts w:ascii="Times New Roman" w:cs="Times New Roman" w:eastAsia="Times New Roman" w:hAnsi="Times New Roman"/>
                <w:sz w:val="16"/>
                <w:szCs w:val="16"/>
                <w:color w:val="0000FF"/>
              </w:rPr>
              <w:t>Note 11</w:t>
            </w:r>
            <w:r>
              <w:rPr>
                <w:rFonts w:ascii="Times New Roman" w:cs="Times New Roman" w:eastAsia="Times New Roman" w:hAnsi="Times New Roman"/>
                <w:sz w:val="16"/>
                <w:szCs w:val="16"/>
                <w:color w:val="auto"/>
              </w:rPr>
              <w:t>)</w:t>
            </w:r>
          </w:p>
        </w:tc>
        <w:tc>
          <w:tcPr>
            <w:tcW w:w="240" w:type="dxa"/>
            <w:vAlign w:val="bottom"/>
          </w:tcPr>
          <w:p>
            <w:pPr>
              <w:spacing w:after="0"/>
              <w:rPr>
                <w:sz w:val="15"/>
                <w:szCs w:val="15"/>
                <w:color w:val="auto"/>
              </w:rPr>
            </w:pPr>
          </w:p>
        </w:tc>
        <w:tc>
          <w:tcPr>
            <w:tcW w:w="110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768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764</w:t>
            </w:r>
          </w:p>
        </w:tc>
      </w:tr>
      <w:tr>
        <w:trPr>
          <w:trHeight w:val="20"/>
        </w:trPr>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3"/>
        </w:trPr>
        <w:tc>
          <w:tcPr>
            <w:tcW w:w="8460" w:type="dxa"/>
            <w:vAlign w:val="bottom"/>
            <w:gridSpan w:val="19"/>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r>
      <w:tr>
        <w:trPr>
          <w:trHeight w:val="210"/>
        </w:trPr>
        <w:tc>
          <w:tcPr>
            <w:tcW w:w="1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34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3,963</w:t>
            </w:r>
          </w:p>
        </w:tc>
      </w:tr>
      <w:tr>
        <w:trPr>
          <w:trHeight w:val="199"/>
        </w:trPr>
        <w:tc>
          <w:tcPr>
            <w:tcW w:w="8460" w:type="dxa"/>
            <w:vAlign w:val="bottom"/>
            <w:gridSpan w:val="19"/>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460" w:type="dxa"/>
            <w:vAlign w:val="bottom"/>
            <w:gridSpan w:val="19"/>
          </w:tcPr>
          <w:p>
            <w:pPr>
              <w:ind w:left="140"/>
              <w:spacing w:after="0"/>
              <w:rPr>
                <w:sz w:val="20"/>
                <w:szCs w:val="20"/>
                <w:color w:val="auto"/>
              </w:rPr>
            </w:pPr>
            <w:r>
              <w:rPr>
                <w:rFonts w:ascii="Times New Roman" w:cs="Times New Roman" w:eastAsia="Times New Roman" w:hAnsi="Times New Roman"/>
                <w:sz w:val="16"/>
                <w:szCs w:val="16"/>
                <w:color w:val="auto"/>
              </w:rPr>
              <w:t>Common stock, $0.625 par, 860,000,000 shares authorized, 491,336,993 and 420,595,901 shares issued, respectively</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r>
      <w:tr>
        <w:trPr>
          <w:trHeight w:val="219"/>
        </w:trPr>
        <w:tc>
          <w:tcPr>
            <w:tcW w:w="8460" w:type="dxa"/>
            <w:vAlign w:val="bottom"/>
            <w:gridSpan w:val="19"/>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Paid-in capital</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11,126</w:t>
            </w:r>
          </w:p>
        </w:tc>
      </w:tr>
      <w:tr>
        <w:trPr>
          <w:trHeight w:val="213"/>
        </w:trPr>
        <w:tc>
          <w:tcPr>
            <w:tcW w:w="8460" w:type="dxa"/>
            <w:vAlign w:val="bottom"/>
            <w:gridSpan w:val="19"/>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(2,959)</w:t>
            </w:r>
          </w:p>
        </w:tc>
      </w:tr>
      <w:tr>
        <w:trPr>
          <w:trHeight w:val="219"/>
        </w:trPr>
        <w:tc>
          <w:tcPr>
            <w:tcW w:w="8460" w:type="dxa"/>
            <w:vAlign w:val="bottom"/>
            <w:gridSpan w:val="19"/>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Treasury stock, at cost, 121,511,189 and 117,020,000 shares, respectively</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(5,790)</w:t>
            </w:r>
          </w:p>
        </w:tc>
      </w:tr>
      <w:tr>
        <w:trPr>
          <w:trHeight w:val="213"/>
        </w:trPr>
        <w:tc>
          <w:tcPr>
            <w:tcW w:w="8460" w:type="dxa"/>
            <w:vAlign w:val="bottom"/>
            <w:tcBorders>
              <w:bottom w:val="single" w:sz="8" w:color="CCEEFF"/>
            </w:tcBorders>
            <w:gridSpan w:val="19"/>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8460" w:type="dxa"/>
            <w:vAlign w:val="bottom"/>
            <w:gridSpan w:val="19"/>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APA SHAREHOLDERS’ EQUITY</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2,655</w:t>
            </w:r>
          </w:p>
        </w:tc>
      </w:tr>
      <w:tr>
        <w:trPr>
          <w:trHeight w:val="213"/>
        </w:trPr>
        <w:tc>
          <w:tcPr>
            <w:tcW w:w="8460" w:type="dxa"/>
            <w:vAlign w:val="bottom"/>
            <w:tcBorders>
              <w:bottom w:val="single" w:sz="8" w:color="CCEEFF"/>
            </w:tcBorders>
            <w:gridSpan w:val="19"/>
          </w:tcPr>
          <w:p>
            <w:pPr>
              <w:ind w:left="140"/>
              <w:spacing w:after="0"/>
              <w:rPr>
                <w:sz w:val="20"/>
                <w:szCs w:val="20"/>
                <w:color w:val="auto"/>
              </w:rPr>
            </w:pPr>
            <w:r>
              <w:rPr>
                <w:rFonts w:ascii="Times New Roman" w:cs="Times New Roman" w:eastAsia="Times New Roman" w:hAnsi="Times New Roman"/>
                <w:sz w:val="16"/>
                <w:szCs w:val="16"/>
                <w:color w:val="auto"/>
              </w:rPr>
              <w:t>Noncontrolling interest</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w:t>
            </w:r>
          </w:p>
        </w:tc>
      </w:tr>
      <w:tr>
        <w:trPr>
          <w:trHeight w:val="210"/>
        </w:trPr>
        <w:tc>
          <w:tcPr>
            <w:tcW w:w="8460" w:type="dxa"/>
            <w:vAlign w:val="bottom"/>
            <w:gridSpan w:val="19"/>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EQUITY</w:t>
            </w: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6,495</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w:t>
            </w:r>
          </w:p>
        </w:tc>
      </w:tr>
      <w:tr>
        <w:trPr>
          <w:trHeight w:val="209"/>
        </w:trPr>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20,195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15,244</w:t>
            </w:r>
          </w:p>
        </w:tc>
      </w:tr>
      <w:tr>
        <w:trPr>
          <w:trHeight w:val="23"/>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6"/>
          <w:szCs w:val="16"/>
          <w:b w:val="1"/>
          <w:bCs w:val="1"/>
          <w:color w:val="auto"/>
        </w:rPr>
        <w:t>APA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CONSOLIDATED CHANGES IN EQUITY AND NONCONTROLLING INTERESTS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1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APA</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7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TOTAL</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80" w:type="dxa"/>
            <w:vAlign w:val="bottom"/>
          </w:tcPr>
          <w:p>
            <w:pPr>
              <w:spacing w:after="0"/>
              <w:rPr>
                <w:sz w:val="17"/>
                <w:szCs w:val="17"/>
                <w:color w:val="auto"/>
              </w:rPr>
            </w:pPr>
          </w:p>
        </w:tc>
        <w:tc>
          <w:tcPr>
            <w:tcW w:w="7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8"/>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3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 Ended June 30, 2023</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11,337</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(5,601)</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common stock</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dividends declared ($0.25 per share)</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Treasury stock activity, net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6"/>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 Ended June 30, 2024</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11,047</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(2,827)</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(5,891)</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ind w:left="700"/>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2,607</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common stock</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Distributions to noncontrolling interest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dividends declared ($0.25 per share)</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 activity, net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w w:val="97"/>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APA CORPORATION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STATEMENT OF CONSOLIDATED CHANGES IN EQUITY AND NONCONTROLLING INTERESTS -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3"/>
                <w:szCs w:val="13"/>
                <w:color w:val="auto"/>
              </w:rPr>
            </w:pPr>
          </w:p>
        </w:tc>
        <w:tc>
          <w:tcPr>
            <w:tcW w:w="11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APA</w:t>
            </w: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7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12"/>
                <w:szCs w:val="12"/>
                <w:color w:val="auto"/>
              </w:rPr>
            </w:pPr>
          </w:p>
        </w:tc>
        <w:tc>
          <w:tcPr>
            <w:tcW w:w="9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6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97"/>
              </w:rPr>
              <w:t>TOTAL</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0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3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7"/>
                <w:szCs w:val="17"/>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Pr>
          <w:p>
            <w:pPr>
              <w:spacing w:after="0"/>
              <w:rPr>
                <w:sz w:val="17"/>
                <w:szCs w:val="17"/>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7"/>
                <w:szCs w:val="17"/>
                <w:color w:val="auto"/>
              </w:rPr>
            </w:pPr>
          </w:p>
        </w:tc>
        <w:tc>
          <w:tcPr>
            <w:tcW w:w="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40" w:type="dxa"/>
            <w:vAlign w:val="bottom"/>
          </w:tcPr>
          <w:p>
            <w:pPr>
              <w:spacing w:after="0"/>
              <w:rPr>
                <w:sz w:val="17"/>
                <w:szCs w:val="17"/>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7"/>
                <w:szCs w:val="17"/>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55"/>
        </w:trPr>
        <w:tc>
          <w:tcPr>
            <w:tcW w:w="386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0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0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2023</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262</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11,420</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(5,814)</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(5,459)</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922</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common stock</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 – Egypt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Distributions to noncontrolling interest – Egypt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dividends declared ($0.50 per share)</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Treasury stock activity, net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96"/>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tcPr>
          <w:p>
            <w:pPr>
              <w:spacing w:after="0"/>
              <w:rPr>
                <w:sz w:val="17"/>
                <w:szCs w:val="17"/>
                <w:color w:val="auto"/>
              </w:rPr>
            </w:pP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28"/>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263</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11,126</w:t>
            </w:r>
          </w:p>
        </w:tc>
        <w:tc>
          <w:tcPr>
            <w:tcW w:w="8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(2,959)</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(5,790)</w:t>
            </w:r>
          </w:p>
        </w:tc>
        <w:tc>
          <w:tcPr>
            <w:tcW w:w="80" w:type="dxa"/>
            <w:vAlign w:val="bottom"/>
          </w:tcPr>
          <w:p>
            <w:pPr>
              <w:spacing w:after="0"/>
              <w:rPr>
                <w:sz w:val="16"/>
                <w:szCs w:val="16"/>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2,655</w:t>
            </w:r>
          </w:p>
        </w:tc>
        <w:tc>
          <w:tcPr>
            <w:tcW w:w="8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3,691</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income attributable to common stock</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attributable to noncontrolling interest – Egypt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Distributions to noncontrolling interest – Egypt</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Common dividends declared ($0.50 per share)</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w:t>
            </w: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Issuance of common stock</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2,414</w:t>
            </w:r>
          </w:p>
        </w:tc>
        <w:tc>
          <w:tcPr>
            <w:tcW w:w="0" w:type="dxa"/>
            <w:vAlign w:val="bottom"/>
          </w:tcPr>
          <w:p>
            <w:pPr>
              <w:spacing w:after="0"/>
              <w:rPr>
                <w:sz w:val="1"/>
                <w:szCs w:val="1"/>
                <w:color w:val="auto"/>
              </w:rPr>
            </w:pPr>
          </w:p>
        </w:tc>
      </w:tr>
      <w:tr>
        <w:trPr>
          <w:trHeight w:val="195"/>
        </w:trPr>
        <w:tc>
          <w:tcPr>
            <w:tcW w:w="38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Treasury stock activity, net</w:t>
            </w:r>
          </w:p>
        </w:tc>
        <w:tc>
          <w:tcPr>
            <w:tcW w:w="1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13,322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(5,934)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5,423</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6,495</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to consolidated financial statements are an integral part of this statement.</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APA CORPORATION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6"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These consolidated financial statements have been prepared by APA Corporation (APA or the Company) without audit, pursuant to the rules and regulations of the Securities and Exchange Commission (SEC). They reflect all adjustments that are, in the opinion of management, necessary for a fair presentation of the results for the interim periods, on a basis consistent with the annual audited financial statements, with the exception of any recently adopted accounting pronouncements. All such adjustments are of a normal recurring nature. Certain information, accounting policies, and footnote disclosures normally included in financial statements prepared in accordance with accounting principles generally accepted in the United States (GAAP) have been condensed or omitted pursuant to such rules and regulations, although the Company believes that the disclosures are adequate to make the information presented not misleading. This Quarterly Report on Form 10-Q should be read along with the Company’s Annual Report on Form 10-K for the fiscal year ended December 31, 2023, which contains a summary of the Company’s significant accounting policies and other disclosures.</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20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June 30, 2024, the Company's significant accounting policies are consistent with those discussed in Note 1—Summary of Significant Accounting Policies of the Notes to Consolidated Financial Statements contained in the Company’s Annual Report on Form 10-K for the fiscal year ended December 31, 2023. The Company’s financial statements for prior periods may include reclassifications that were made to conform to the current-year presentation.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Principles of Consolidation</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APA and its subsidiaries after elimination of intercompany balances and transactions.</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Company’s undivided interests in oil and gas exploration and production ventures and partnerships are proportionately consolidated. The Company consolidates all other investments in which, either through direct or indirect ownership, it has more than a 50 percent voting interest or controls the financial and operating decisions.</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Sinopec International Petroleum Exploration and Production Corporation (Sinopec) owns a one-third minority participation in the Company’s consolidated Egypt oil and gas business as a noncontrolling interest, which is reflected as a separate noncontrolling interest component of equity in the Company’s consolidated balance sheet. The Company has determined that a limited partnership and APA subsidiary, which has control over APA’s Egyptian operations, qualifies as a variable interest entity (VIE) under GAAP. Apache consolidates the activities of APA’s Egyptian operations because it has concluded that a wholly owned subsidiary has a controlling financial interest in APA’s Egyptian operations and was determined to be the primary beneficiary of the VIE.</w:t>
      </w:r>
    </w:p>
    <w:p>
      <w:pPr>
        <w:spacing w:after="0" w:line="14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Investments in which the Company has significant influence, but not control, are accounted for under the equity method of accounting. During each of the periods ended March 31, 2024 and June 30, 2023, the Company had a designated director on the Kinetik Holdings Inc. (Kinetik) board of directors. The Company’s designated director resigned from the Kinetik board of directors on April 3, 2024. As a result, the Company is considered to have had significant influence over Kinetik for all periods presented except for the quarter ended June 30, 2024.</w:t>
      </w:r>
    </w:p>
    <w:p>
      <w:pPr>
        <w:spacing w:after="0" w:line="15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As of December 31, 2023, the Company held shares of Kinetik Class A Common Stock (Kinetik Shares), which were recorded separately as “Equity method interests” in the Company’s consolidated balance sheet. On March 18, 2024, the Company sold its remaining Kinetik Shares. Refer to </w:t>
      </w:r>
      <w:r>
        <w:rPr>
          <w:rFonts w:ascii="Times New Roman" w:cs="Times New Roman" w:eastAsia="Times New Roman" w:hAnsi="Times New Roman"/>
          <w:sz w:val="18"/>
          <w:szCs w:val="18"/>
          <w:u w:val="single" w:color="auto"/>
          <w:color w:val="0000FF"/>
        </w:rPr>
        <w:t>Note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Equity Method Interests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for further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Estimates</w:t>
      </w:r>
    </w:p>
    <w:p>
      <w:pPr>
        <w:spacing w:after="0" w:line="20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Preparation of financial statements in conformity with GAAP and disclosure of contingent assets and liabilities requires management to make estimates and assumptions that affect the reported amounts of assets and liabilities at the date of the financial statements and the reported amounts of revenues and expenses during the reporting period. The Company bases its estimates on historical experience and various other assumptions that are believed to be reasonable under the circumstances, the results of which form the basis for making judgments about carrying values of assets and liabilities that are not readily apparent from other sources. The Company evaluates its estimates and assumptions on a regular basis. Actual results may differ from these estimates and assumptions used in preparation of the Company’s financial statements, and changes in these estimates are recorded when known.</w:t>
      </w:r>
    </w:p>
    <w:p>
      <w:pPr>
        <w:spacing w:after="0" w:line="147"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Significant estimates with regard to these financial statements include the estimates of fair value for long-lived assets (refer to “Fair Value Measurements” and “Property and Equipment” sections in this Note 1 below), the fair value determination of acquired assets and liabilities (refer to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—Acquisitions and Divestitures</w:t>
      </w:r>
      <w:r>
        <w:rPr>
          <w:rFonts w:ascii="Times New Roman" w:cs="Times New Roman" w:eastAsia="Times New Roman" w:hAnsi="Times New Roman"/>
          <w:sz w:val="18"/>
          <w:szCs w:val="18"/>
          <w:color w:val="000000"/>
        </w:rPr>
        <w:t>), the assessment of asset retirement obligations (refer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Note 8—Asset Retirement Obligation</w:t>
      </w:r>
      <w:r>
        <w:rPr>
          <w:rFonts w:ascii="Times New Roman" w:cs="Times New Roman" w:eastAsia="Times New Roman" w:hAnsi="Times New Roman"/>
          <w:sz w:val="18"/>
          <w:szCs w:val="18"/>
          <w:color w:val="000000"/>
        </w:rPr>
        <w:t>), the estimate of income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taxes (refer to </w:t>
      </w:r>
      <w:r>
        <w:rPr>
          <w:rFonts w:ascii="Times New Roman" w:cs="Times New Roman" w:eastAsia="Times New Roman" w:hAnsi="Times New Roman"/>
          <w:sz w:val="18"/>
          <w:szCs w:val="18"/>
          <w:u w:val="single" w:color="auto"/>
          <w:color w:val="0000FF"/>
        </w:rPr>
        <w:t>Note 10—Income Taxes</w:t>
      </w:r>
      <w:r>
        <w:rPr>
          <w:rFonts w:ascii="Times New Roman" w:cs="Times New Roman" w:eastAsia="Times New Roman" w:hAnsi="Times New Roman"/>
          <w:sz w:val="18"/>
          <w:szCs w:val="18"/>
          <w:color w:val="000000"/>
        </w:rPr>
        <w:t xml:space="preserve">), the estimation of the contingent liability representing Apache’s potential decommissioning obligations on sold properties in the Gulf of Mexico (refer to </w:t>
      </w:r>
      <w:r>
        <w:rPr>
          <w:rFonts w:ascii="Times New Roman" w:cs="Times New Roman" w:eastAsia="Times New Roman" w:hAnsi="Times New Roman"/>
          <w:sz w:val="18"/>
          <w:szCs w:val="18"/>
          <w:u w:val="single" w:color="auto"/>
          <w:color w:val="0000FF"/>
        </w:rPr>
        <w:t>Note 11—Commitments and Contingencies</w:t>
      </w:r>
      <w:r>
        <w:rPr>
          <w:rFonts w:ascii="Times New Roman" w:cs="Times New Roman" w:eastAsia="Times New Roman" w:hAnsi="Times New Roman"/>
          <w:sz w:val="18"/>
          <w:szCs w:val="18"/>
          <w:color w:val="000000"/>
        </w:rPr>
        <w:t>), and the estimate of proved oil and gas reserves and related present value estimates of future net cash flows therefrom.</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0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Certain assets and liabilities are reported at fair value on a recurring basis in the Company’s consolidated balance sheet. Accounting Standards Codification (ASC) 820-10-35, “Fair Value Measurement” (ASC 820), provides a hierarchy that prioritizes and defines the types of inputs used to measure fair value. The fair value hierarchy gives the highest priority to Level 1 inputs, which consist of unadjusted quoted prices for identical instruments in active markets. Level 2 inputs consist of quoted prices for similar instruments. Level 3 valuations are derived from inputs that are significant and unobservable; hence, these valuations have the lowest priority.</w:t>
      </w:r>
    </w:p>
    <w:p>
      <w:pPr>
        <w:spacing w:after="0" w:line="14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valuation techniques that may be used to measure fair value include a market approach, an income approach, and a cost approach. A market approach uses prices and other relevant information generated by market transactions involving identical or comparable assets or liabilities. An income approach uses valuation techniques to convert future amounts to a single present amount based on current market expectations, including present value techniques, option-pricing models, and the excess earnings method. The cost approach is based on the amount that currently would be required to replace the service capacity of an asset (replacement cost).</w:t>
      </w:r>
    </w:p>
    <w:p>
      <w:pPr>
        <w:spacing w:after="0" w:line="14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4—Derivative Instruments and Hedging Activities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Note 6—Equity Method Interests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Note 9—Debt and Financing Costs</w:t>
      </w:r>
      <w:r>
        <w:rPr>
          <w:rFonts w:ascii="Times New Roman" w:cs="Times New Roman" w:eastAsia="Times New Roman" w:hAnsi="Times New Roman"/>
          <w:sz w:val="18"/>
          <w:szCs w:val="18"/>
          <w:color w:val="auto"/>
        </w:rPr>
        <w:t xml:space="preserve"> for further detail regarding the Company’s fair value measurements recorded on a recurring basis.</w:t>
      </w:r>
    </w:p>
    <w:p>
      <w:pPr>
        <w:spacing w:after="0" w:line="13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June 30, 2024 and 2023, the Company recorded no asset impairments in connection with fair value assessments.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 Recognition</w:t>
      </w:r>
    </w:p>
    <w:p>
      <w:pPr>
        <w:spacing w:after="0" w:line="18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Receivables from contracts with customers, including receivables for purchased oil and gas sales and net of allowance for credit losses, were $1.8 billion and $1.5 billion as of June 30, 2024 and December 31, 2023, respectively. Payments under all contracts with customers are typically due and received within a short-term period of one year or less, after physical delivery of the product or service has been rendered. Over the past year, the Company experienced a gradual decline in the timeliness of receipts from the Egyptian General Petroleum Corporation (EGPC) for the Company’s Egyptian oil and gas sales. The Company is conducting ongoing discussions with the Government of Egypt to resolve the delay in EGPC payments. The Company continues to collect on these receivables, albeit late, and management believes that the Company will be able to collect the total balance of its receivables from this customer.</w:t>
      </w:r>
    </w:p>
    <w:p>
      <w:pPr>
        <w:spacing w:after="0" w:line="16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Oil and gas production revenues include income taxes that will be paid to the Arab Republic of Egypt by EGPC on behalf of the Company. Revenue and associated expenses related to such tax volumes are recorded as “Oil, natural gas, and natural gas liquids production revenues” and “Current income tax provision,” respectively, in the Company’s statement of consolidated operations.</w:t>
      </w:r>
    </w:p>
    <w:p>
      <w:pPr>
        <w:spacing w:after="0" w:line="13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13—Business Segment Information</w:t>
      </w:r>
      <w:r>
        <w:rPr>
          <w:rFonts w:ascii="Times New Roman" w:cs="Times New Roman" w:eastAsia="Times New Roman" w:hAnsi="Times New Roman"/>
          <w:sz w:val="18"/>
          <w:szCs w:val="18"/>
          <w:color w:val="auto"/>
        </w:rPr>
        <w:t xml:space="preserve"> for a disaggregation of oil, gas, and natural gas production revenue by product and reporting segment.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3" w:name="page14"/>
    <w:bookmarkEnd w:id="13"/>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accordance with the provisions of ASC 606, “Revenue from Contracts with Customers,” variable market prices for each short-term commodity sale are allocated entirely to each performance obligation as the terms of payment relate specifically to the Company’s efforts to satisfy its obligations. As such, the Company has elected the practical expedients available under the standard to not disclose the aggregate transaction price allocated to unsatisfied, or partially unsatisfied, performance obligations as of the end of the reporting period.</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Inventories</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Inventories consist principally of tubular goods and equipment and are stated at the lower of weighted-average cost or net realizable value. Oil produced but not sold, primarily in the North Sea, is also recorded to inventory and is stated at the lower of the cost to produce or net realizable value.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2023, the Company recorded $46 million of impairments in connection with valuations of drilling and operations equipment inventory upon the Company’s decision to suspend drilling operations in the North Sea. There were no impairments recorded during the three and six months ended June 30,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and Equipment</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carrying value of the Company’s property and equipment represents the cost incurred to acquire the property and equipment, including capitalized interest, net of any impairments. For business combinations and acquisitions, property and equipment cost is based on the fair values at the acquisition date.</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Oil and Gas Property</w:t>
      </w:r>
    </w:p>
    <w:p>
      <w:pPr>
        <w:spacing w:after="0" w:line="202"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follows the successful efforts method of accounting for its oil and gas property. Under this method of accounting, exploration costs, production costs, general corporate overhead, and similar activities are expensed as incurred. If an exploratory well provides evidence to justify potential development of reserves, drilling costs associated with the well are initially capitalized, or suspended, pending a determination as to whether a commercially sufficient quantity of proved reserves can be attributed to the area as a result of drilling. At the end of each quarter, management reviews the status of all suspended exploratory well costs in light of ongoing exploration activities, and if management determines that future appraisal drilling or development activities are unlikely to occur, associated suspended exploratory well costs are expensed.</w:t>
      </w:r>
    </w:p>
    <w:p>
      <w:pPr>
        <w:spacing w:after="0" w:line="147" w:lineRule="exact"/>
        <w:rPr>
          <w:sz w:val="20"/>
          <w:szCs w:val="20"/>
          <w:color w:val="auto"/>
        </w:rPr>
      </w:pPr>
    </w:p>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Costs to develop proved reserves, including the costs of all development wells and related equipment used in the production of crude oil and natural gas, are capitalized. Depreciation of the cost of proved oil and gas properties is calculated using the unit-of-production (UOP) method. The UOP calculation multiplies the percentage of estimated proved reserves produced each quarter by the carrying value of associated proved oil and gas properties.</w:t>
      </w:r>
    </w:p>
    <w:p>
      <w:pPr>
        <w:spacing w:after="0" w:line="13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When circumstances indicate that the carrying value of proved oil and gas properties may not be recoverable, the Company compares unamortized capitalized costs to the expected undiscounted pre-tax future cash flows for the associated assets grouped at the lowest level for which identifiable cash flows are independent of cash flows of other assets. If the expected undiscounted pre-tax future cash flows, based on the Company’s estimate of future crude oil and natural gas prices, operating costs, anticipated production from proved reserves and other relevant data, are lower than the unamortized capitalized cost, the capitalized cost is reduced to fair value.</w:t>
      </w:r>
    </w:p>
    <w:p>
      <w:pPr>
        <w:spacing w:after="0" w:line="15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Unproved leasehold impairments are typically recorded as a component of “Exploration” expense in the Company’s statement of consolidated operations. Gains and losses on divestitures of the Company’s oil and gas properties are recognized in the statement of consolidated operations upon closing of the transaction. Refer to </w:t>
      </w:r>
      <w:r>
        <w:rPr>
          <w:rFonts w:ascii="Times New Roman" w:cs="Times New Roman" w:eastAsia="Times New Roman" w:hAnsi="Times New Roman"/>
          <w:sz w:val="18"/>
          <w:szCs w:val="18"/>
          <w:u w:val="single" w:color="auto"/>
          <w:color w:val="0000FF"/>
        </w:rPr>
        <w:t>Note 2—Acquisitions and Divestitures</w:t>
      </w:r>
      <w:r>
        <w:rPr>
          <w:rFonts w:ascii="Times New Roman" w:cs="Times New Roman" w:eastAsia="Times New Roman" w:hAnsi="Times New Roman"/>
          <w:sz w:val="18"/>
          <w:szCs w:val="18"/>
          <w:color w:val="auto"/>
        </w:rPr>
        <w:t xml:space="preserve"> for more detail.</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Gathering, Processing, and Transmission (GPT) Facilities</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GPT facilities are depreciated on a straight-line basis over the estimated useful lives of the assets. The estimation of useful life takes into consideration anticipated production lives from the fields serviced by the GPT assets, whether APA-operated or third party-operated, as well as potential development plans by the Company for undeveloped acreage within, or close to, those fields.</w:t>
      </w:r>
    </w:p>
    <w:p>
      <w:pPr>
        <w:spacing w:after="0" w:line="14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assesses the carrying amount of its GPT facilities whenever events or changes in circumstances indicate that the carrying amount may not be recoverable. If the carrying amount of these facilities is more than the sum of the undiscounted cash flows, an impairment loss is recognized for the excess of the carrying value over its fair value.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 Reorganization, and Separation (TRS)</w:t>
      </w:r>
    </w:p>
    <w:p>
      <w:pPr>
        <w:spacing w:after="0" w:line="20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recorded $115 million and $142 million of TRS costs during the second quarter and the first six months of 2024, respectively, and $2 million and $6 million of TRS costs during the second quarter and the first six months of 2023, respectively. TRS costs incurred in the first six months of 2024 comprised $128 million associated with the Callon acquisition, including $62 million of separation costs and $66 million of transaction and integration costs.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Pronouncements Issued But Not Yet Adopted</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recently issued or adopted accounting standards from those disclosed in the Company’s Annual Report on Form 10-K for the fiscal year ended December 31, 2023.</w:t>
      </w:r>
    </w:p>
    <w:p>
      <w:pPr>
        <w:spacing w:after="0" w:line="158" w:lineRule="exact"/>
        <w:rPr>
          <w:sz w:val="20"/>
          <w:szCs w:val="20"/>
          <w:color w:val="auto"/>
        </w:rPr>
      </w:pPr>
    </w:p>
    <w:p>
      <w:pPr>
        <w:ind w:right="7780" w:firstLine="8"/>
        <w:spacing w:after="0" w:line="461" w:lineRule="auto"/>
        <w:tabs>
          <w:tab w:leader="none" w:pos="305"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ACQUISITIONS AND DIVESTITURES </w:t>
      </w:r>
      <w:r>
        <w:rPr>
          <w:rFonts w:ascii="Times New Roman" w:cs="Times New Roman" w:eastAsia="Times New Roman" w:hAnsi="Times New Roman"/>
          <w:sz w:val="18"/>
          <w:szCs w:val="18"/>
          <w:b w:val="1"/>
          <w:bCs w:val="1"/>
          <w:u w:val="single" w:color="auto"/>
          <w:color w:val="auto"/>
        </w:rPr>
        <w:t>2024 Activity</w:t>
      </w:r>
    </w:p>
    <w:p>
      <w:pPr>
        <w:spacing w:after="0" w:line="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Callon Petroleum Company Acquisition</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April 1, 2024, APA completed its acquisition of Callon Petroleum Company (Callon) in an all-stock transaction valued at approximately $4.5 billion, inclusive of Callon’s debt (the Callon acquisition). The transaction was approved by APA and Callon shareholders at special meetings held on March 27, 2024. The acquired assets include approximately 120,000 net acres in the Delaware Basin and 25,000 net acres in the Midland Basin.</w:t>
      </w:r>
    </w:p>
    <w:p>
      <w:pPr>
        <w:spacing w:after="0" w:line="203"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Subject to the terms of the merger agreement (Merger Agreement), each share of Callon common stock was converted into the right to receive 1.0425 shares of APA common stock, with cash in lieu of fractional shares. As a result, APA issued approximately 70 million shares of APA common stock in connection with the transaction based on the value of APA common stock on the day of closing, and following the acquisition, Callon common stock is no longer listed for trading on the NYSE. In addition to the equity consideration provided, APA transferred approximately $24 million in other consideration upon close of the transaction.</w:t>
      </w:r>
    </w:p>
    <w:p>
      <w:pPr>
        <w:spacing w:after="0" w:line="156"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 xml:space="preserve">Upon completing the acquisition, APA repaid all of Callon’s debt, refinancing a portion by borrowing $1.5 billion under its unsecured committed term loan facility. Refer to </w:t>
      </w:r>
      <w:r>
        <w:rPr>
          <w:rFonts w:ascii="Times New Roman" w:cs="Times New Roman" w:eastAsia="Times New Roman" w:hAnsi="Times New Roman"/>
          <w:sz w:val="18"/>
          <w:szCs w:val="18"/>
          <w:u w:val="single" w:color="auto"/>
          <w:color w:val="0000FF"/>
        </w:rPr>
        <w:t>Note 9—Debt and Financing Costs</w:t>
      </w:r>
      <w:r>
        <w:rPr>
          <w:rFonts w:ascii="Times New Roman" w:cs="Times New Roman" w:eastAsia="Times New Roman" w:hAnsi="Times New Roman"/>
          <w:sz w:val="18"/>
          <w:szCs w:val="18"/>
          <w:color w:val="auto"/>
        </w:rPr>
        <w:t xml:space="preserve"> for further detail.</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Recording of Assets Acquired and Liabilities Assumed</w:t>
      </w:r>
    </w:p>
    <w:p>
      <w:pPr>
        <w:spacing w:after="0" w:line="18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transaction was accounted for using the acquisition method of accounting, which requires, among other things, that assets acquired and liabilities assumed be recognized at their fair values as of the acquisition date. The final determination of fair value for certain assets and liabilities will be completed as soon as the information necessary to complete the analysis is obtained. These amounts will be finalized as soon as possible, but no later than one year from the acquisition date.</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preliminary estimates of the assets acquired and liabilities assumed in the merger:</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9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r>
      <w:tr>
        <w:trPr>
          <w:trHeight w:val="213"/>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4,493</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r>
      <w:tr>
        <w:trPr>
          <w:trHeight w:val="213"/>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9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assets acquired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w:t>
            </w:r>
          </w:p>
        </w:tc>
      </w:tr>
      <w:tr>
        <w:trPr>
          <w:trHeight w:val="207"/>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r>
      <w:tr>
        <w:trPr>
          <w:trHeight w:val="213"/>
        </w:trPr>
        <w:tc>
          <w:tcPr>
            <w:tcW w:w="9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r>
      <w:tr>
        <w:trPr>
          <w:trHeight w:val="219"/>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obligations</w:t>
            </w:r>
          </w:p>
        </w:tc>
        <w:tc>
          <w:tcPr>
            <w:tcW w:w="2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207"/>
        </w:trPr>
        <w:tc>
          <w:tcPr>
            <w:tcW w:w="9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liabilities assumed</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2,923</w:t>
            </w:r>
          </w:p>
        </w:tc>
      </w:tr>
      <w:tr>
        <w:trPr>
          <w:trHeight w:val="237"/>
        </w:trPr>
        <w:tc>
          <w:tcPr>
            <w:tcW w:w="9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assets acquired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5" w:name="page16"/>
    <w:bookmarkEnd w:id="15"/>
    <w:p>
      <w:pPr>
        <w:jc w:val="both"/>
        <w:ind w:right="20" w:firstLine="445"/>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combined results for the three and six months ended June 30, 2024 and 2023 reflect the consolidated results of operations of the Company as if the Callon acquisition had occurred on January 1, 2023. The unaudited pro forma information includes certain accounting adjustments for transaction costs, depreciation, depletion, and amortization expense, and estimated tax impacts of the pro forma adjustments.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2600" w:type="dxa"/>
            <w:vAlign w:val="bottom"/>
            <w:gridSpan w:val="4"/>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80" w:type="dxa"/>
            <w:vAlign w:val="bottom"/>
            <w:gridSpan w:val="4"/>
          </w:tcPr>
          <w:p>
            <w:pPr>
              <w:jc w:val="center"/>
              <w:ind w:right="27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4"/>
        </w:trPr>
        <w:tc>
          <w:tcPr>
            <w:tcW w:w="49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right="42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09"/>
        </w:trPr>
        <w:tc>
          <w:tcPr>
            <w:tcW w:w="49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4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20" w:type="dxa"/>
            <w:vAlign w:val="bottom"/>
            <w:gridSpan w:val="6"/>
          </w:tcPr>
          <w:p>
            <w:pPr>
              <w:ind w:left="620"/>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
        </w:trPr>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4,883</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attributable to common stock</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w:t>
            </w: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r>
      <w:tr>
        <w:trPr>
          <w:trHeight w:val="210"/>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w:t>
            </w:r>
          </w:p>
        </w:tc>
      </w:tr>
    </w:tbl>
    <w:p>
      <w:pPr>
        <w:spacing w:after="0" w:line="257"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From the date of the acquisition through June 30, 2024, revenues and net income attributable to common stockholders associated with Callon assets totaled $438 million and $109 million, respectively.</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consolidated financial information has been included for comparative purposes only and is not necessarily indicative of the results that might have occurred had the transactions taken place on the dates indicated. The unaudited pro forma results are also not intended to be a projection of future results and do not include any future cost savings or other synergies that may result from the Callon acquisition or any estimated costs that have not yet been incurred.</w:t>
      </w:r>
    </w:p>
    <w:p>
      <w:pPr>
        <w:spacing w:after="0" w:line="1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Divestitures</w:t>
      </w:r>
    </w:p>
    <w:p>
      <w:pPr>
        <w:spacing w:after="0" w:line="20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the second quarter of 2024, the Company completed the sale of non-core acreage in the East Texas Austin Chalk and Eagle Ford plays that had a carrying value of $347 million for aggregate cash proceeds of $253 million and the assumption of asset retirement obligations of $48 million. The Company recognized a $46 million loss during the second quarter of 2024 in association with this sale.</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In the second quarter of 2024, the Company also completed the sale of non-core mineral and royalty interests in the Permian Basin that had a carrying value of $71 million for approximately $392 million after post-closing adjustments. The Company recognized a gain of $321 million during the second quarter of 2024 in association with this sale.</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Additionally, during the second quarter and first six months of 2024, the Company completed the sale of non-core assets and leasehold in multiple transactions for aggregate cash proceeds of $45 million and $72 million, respectively, recognizing a gain of approximately $1 million and $8 million, respectively, upon closing of these transactions.</w:t>
      </w:r>
    </w:p>
    <w:p>
      <w:pPr>
        <w:spacing w:after="0" w:line="14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Sale of Kinetik Shares</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 xml:space="preserve">On March 18, 2024, the Company sold its remaining Kinetik Shares for cash proceeds of $428 million. Refer to </w:t>
      </w:r>
      <w:r>
        <w:rPr>
          <w:rFonts w:ascii="Times New Roman" w:cs="Times New Roman" w:eastAsia="Times New Roman" w:hAnsi="Times New Roman"/>
          <w:sz w:val="18"/>
          <w:szCs w:val="18"/>
          <w:u w:val="single" w:color="auto"/>
          <w:color w:val="0000FF"/>
        </w:rPr>
        <w:t>Note 6—Equity Method Interests</w:t>
      </w:r>
      <w:r>
        <w:rPr>
          <w:rFonts w:ascii="Times New Roman" w:cs="Times New Roman" w:eastAsia="Times New Roman" w:hAnsi="Times New Roman"/>
          <w:sz w:val="18"/>
          <w:szCs w:val="18"/>
          <w:color w:val="auto"/>
        </w:rPr>
        <w:t xml:space="preserve"> for further detail.</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Leasehold and Property Acquisitions</w:t>
      </w:r>
    </w:p>
    <w:p>
      <w:pPr>
        <w:spacing w:after="0" w:line="2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During the first six months of 2024, in addition to the Callon acquisition, the Company completed other leasehold and property acquisitions, primarily in the Permian Basin, for aggregate cash consideration of approximately $63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2023 Activity</w:t>
      </w:r>
    </w:p>
    <w:p>
      <w:pPr>
        <w:spacing w:after="0" w:line="18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Leasehold and Property Acquisitions</w:t>
      </w:r>
    </w:p>
    <w:p>
      <w:pPr>
        <w:spacing w:after="0" w:line="202"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the second quarter and first six months of 2023, the Company completed leasehold and property acquisitions, primarily in the Permian Basin, for aggregate cash consideration of approximately $4 million and $10 million, respectively.</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 Divestitures</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second quarter and first six months of 2023, the Company completed the sale of non-core assets and leasehold in multiple transactions for aggregate cash proceeds of $7 million and $28 million, respectively, recognizing a gain of approximately $5 million and $6 million, respectively, upon closing of these transactions.</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6" w:name="page17"/>
    <w:bookmarkEnd w:id="16"/>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CAPITALIZED EXPLORATORY WELL COSTS</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Company’s capitalized exploratory well costs were $621 million and $586 million as of June 30, 2024 and December 31, 2023, respectively. The increase is primarily attributable to additional drilling activity in Egypt and in the U.S. No suspended exploratory well costs previously capitalized for greater than one year at December 31, 2023 were charged to dry hole expense during the second quarter of 2024. During the first quarter of 2024, approximately $51 million of suspended well costs previously capitalized for greater than one year at December 31, 2023 were charged to dry hole expense.</w:t>
      </w:r>
    </w:p>
    <w:p>
      <w:pPr>
        <w:spacing w:after="0" w:line="15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Projects with suspended exploratory well costs capitalized for a period greater than one year since the completion of drilling are those identified by management as exhibiting sufficient quantities of hydrocarbons to justify potential development. Management is actively pursuing efforts to assess whether proved reserves can be attributed to these projects.</w:t>
      </w:r>
    </w:p>
    <w:p>
      <w:pPr>
        <w:spacing w:after="0" w:line="172" w:lineRule="exact"/>
        <w:rPr>
          <w:sz w:val="20"/>
          <w:szCs w:val="20"/>
          <w:color w:val="auto"/>
        </w:rPr>
      </w:pPr>
    </w:p>
    <w:p>
      <w:pPr>
        <w:ind w:right="5980" w:firstLine="8"/>
        <w:spacing w:after="0" w:line="456" w:lineRule="auto"/>
        <w:tabs>
          <w:tab w:leader="none" w:pos="31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DERIVATIVE INSTRUMENTS AND HEDGING ACTIVITIES </w:t>
      </w:r>
      <w:r>
        <w:rPr>
          <w:rFonts w:ascii="Times New Roman" w:cs="Times New Roman" w:eastAsia="Times New Roman" w:hAnsi="Times New Roman"/>
          <w:sz w:val="18"/>
          <w:szCs w:val="18"/>
          <w:b w:val="1"/>
          <w:bCs w:val="1"/>
          <w:u w:val="single" w:color="auto"/>
          <w:color w:val="auto"/>
        </w:rPr>
        <w:t>Objectives and Strategies</w:t>
      </w: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 is exposed to fluctuations in crude oil and natural gas prices on the majority of its worldwide production, as well as fluctuations in exchange rates in connection with transactions denominated in foreign currencies. The Company manages the variability in its cash flows by occasionally entering into derivative transactions on a portion of its crude oil and natural gas production and foreign currency transactions. The Company utilizes various types of derivative financial instruments, including forward contracts, futures contracts, swaps, and options, to manage fluctuations in cash flows resulting from changes in commodity prices or foreign currency values. Apache has elected not to designate any of its derivative contracts as cash flow hedges.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Counterparty Risk</w:t>
      </w:r>
    </w:p>
    <w:p>
      <w:pPr>
        <w:spacing w:after="0" w:line="18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use of derivative instruments exposes the Company to credit loss in the event of nonperformance by the counterparty. To reduce the concentration of exposure to any individual counterparty, the Company utilizes a diversified group of investment-grade rated counterparties, primarily financial institutions, for its derivative transactions. As of June 30, 2024, the Company had derivative positions with one counterparty. The Company monitors counterparty creditworthiness on an ongoing basis; however, it cannot predict sudden changes in counterparties’ creditworthiness. In addition, even if such changes are not sudden, the Company may be limited in its ability to mitigate an increase in counterparty credit risk. Should one of these counterparties not perform, the Company may not realize the benefit of some of its derivative instruments resulting from lower commodity prices.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Instruments</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Commodity Derivative Instruments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2024, the Company had the following open natural gas financial collar contracts: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Period</w:t>
            </w:r>
          </w:p>
        </w:tc>
        <w:tc>
          <w:tcPr>
            <w:tcW w:w="2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Settlement Index</w:t>
            </w:r>
          </w:p>
        </w:tc>
        <w:tc>
          <w:tcPr>
            <w:tcW w:w="2140" w:type="dxa"/>
            <w:vAlign w:val="bottom"/>
            <w:tcBorders>
              <w:top w:val="single" w:sz="8" w:color="auto"/>
            </w:tcBorders>
            <w:gridSpan w:val="2"/>
          </w:tcPr>
          <w:p>
            <w:pPr>
              <w:jc w:val="center"/>
              <w:ind w:right="100"/>
              <w:spacing w:after="0" w:line="175" w:lineRule="exact"/>
              <w:rPr>
                <w:sz w:val="20"/>
                <w:szCs w:val="20"/>
                <w:color w:val="auto"/>
              </w:rPr>
            </w:pPr>
            <w:r>
              <w:rPr>
                <w:rFonts w:ascii="Times New Roman" w:cs="Times New Roman" w:eastAsia="Times New Roman" w:hAnsi="Times New Roman"/>
                <w:sz w:val="16"/>
                <w:szCs w:val="16"/>
                <w:b w:val="1"/>
                <w:bCs w:val="1"/>
                <w:color w:val="auto"/>
              </w:rPr>
              <w:t>MMBtu</w:t>
            </w:r>
          </w:p>
        </w:tc>
        <w:tc>
          <w:tcPr>
            <w:tcW w:w="206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Weighted Average Floor</w:t>
            </w:r>
          </w:p>
        </w:tc>
        <w:tc>
          <w:tcPr>
            <w:tcW w:w="100" w:type="dxa"/>
            <w:vAlign w:val="bottom"/>
          </w:tcPr>
          <w:p>
            <w:pPr>
              <w:spacing w:after="0"/>
              <w:rPr>
                <w:sz w:val="15"/>
                <w:szCs w:val="15"/>
                <w:color w:val="auto"/>
              </w:rPr>
            </w:pPr>
          </w:p>
        </w:tc>
        <w:tc>
          <w:tcPr>
            <w:tcW w:w="208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Weighted Average Ceiling</w:t>
            </w:r>
          </w:p>
        </w:tc>
        <w:tc>
          <w:tcPr>
            <w:tcW w:w="0" w:type="dxa"/>
            <w:vAlign w:val="bottom"/>
          </w:tcPr>
          <w:p>
            <w:pPr>
              <w:spacing w:after="0"/>
              <w:rPr>
                <w:sz w:val="1"/>
                <w:szCs w:val="1"/>
                <w:color w:val="auto"/>
              </w:rPr>
            </w:pPr>
          </w:p>
        </w:tc>
      </w:tr>
      <w:tr>
        <w:trPr>
          <w:trHeight w:val="214"/>
        </w:trPr>
        <w:tc>
          <w:tcPr>
            <w:tcW w:w="2280" w:type="dxa"/>
            <w:vAlign w:val="bottom"/>
            <w:vMerge w:val="continue"/>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000’s)</w:t>
            </w:r>
          </w:p>
        </w:tc>
        <w:tc>
          <w:tcPr>
            <w:tcW w:w="21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2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w:t>
            </w:r>
          </w:p>
        </w:tc>
        <w:tc>
          <w:tcPr>
            <w:tcW w:w="0" w:type="dxa"/>
            <w:vAlign w:val="bottom"/>
          </w:tcPr>
          <w:p>
            <w:pPr>
              <w:spacing w:after="0"/>
              <w:rPr>
                <w:sz w:val="1"/>
                <w:szCs w:val="1"/>
                <w:color w:val="auto"/>
              </w:rPr>
            </w:pPr>
          </w:p>
        </w:tc>
      </w:tr>
      <w:tr>
        <w:trPr>
          <w:trHeight w:val="211"/>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July—December 2024</w:t>
            </w: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NYMEX Henry Hub</w:t>
            </w: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3,398</w:t>
            </w:r>
          </w:p>
        </w:tc>
        <w:tc>
          <w:tcPr>
            <w:tcW w:w="100" w:type="dxa"/>
            <w:vAlign w:val="bottom"/>
            <w:tcBorders>
              <w:top w:val="single" w:sz="8" w:color="CCEEFF"/>
            </w:tcBorders>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$3.00</w:t>
            </w:r>
          </w:p>
        </w:tc>
        <w:tc>
          <w:tcPr>
            <w:tcW w:w="10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$3.33</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2024, the Company had the following open natural gas financial basis swap contracts: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2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40" w:type="dxa"/>
            <w:vAlign w:val="bottom"/>
            <w:gridSpan w:val="4"/>
          </w:tcPr>
          <w:p>
            <w:pPr>
              <w:ind w:left="800"/>
              <w:spacing w:after="0"/>
              <w:rPr>
                <w:sz w:val="20"/>
                <w:szCs w:val="20"/>
                <w:color w:val="auto"/>
              </w:rPr>
            </w:pPr>
            <w:r>
              <w:rPr>
                <w:rFonts w:ascii="Times New Roman" w:cs="Times New Roman" w:eastAsia="Times New Roman" w:hAnsi="Times New Roman"/>
                <w:sz w:val="16"/>
                <w:szCs w:val="16"/>
                <w:b w:val="1"/>
                <w:bCs w:val="1"/>
                <w:color w:val="auto"/>
              </w:rPr>
              <w:t>Basis Swap Purchased</w:t>
            </w:r>
          </w:p>
        </w:tc>
        <w:tc>
          <w:tcPr>
            <w:tcW w:w="3140" w:type="dxa"/>
            <w:vAlign w:val="bottom"/>
            <w:gridSpan w:val="3"/>
          </w:tcPr>
          <w:p>
            <w:pPr>
              <w:ind w:left="1000"/>
              <w:spacing w:after="0"/>
              <w:rPr>
                <w:sz w:val="20"/>
                <w:szCs w:val="20"/>
                <w:color w:val="auto"/>
              </w:rPr>
            </w:pPr>
            <w:r>
              <w:rPr>
                <w:rFonts w:ascii="Times New Roman" w:cs="Times New Roman" w:eastAsia="Times New Roman" w:hAnsi="Times New Roman"/>
                <w:sz w:val="16"/>
                <w:szCs w:val="16"/>
                <w:b w:val="1"/>
                <w:bCs w:val="1"/>
                <w:color w:val="auto"/>
              </w:rPr>
              <w:t>Basis Swap Sold</w:t>
            </w:r>
          </w:p>
        </w:tc>
        <w:tc>
          <w:tcPr>
            <w:tcW w:w="0" w:type="dxa"/>
            <w:vAlign w:val="bottom"/>
          </w:tcPr>
          <w:p>
            <w:pPr>
              <w:spacing w:after="0"/>
              <w:rPr>
                <w:sz w:val="1"/>
                <w:szCs w:val="1"/>
                <w:color w:val="auto"/>
              </w:rPr>
            </w:pPr>
          </w:p>
        </w:tc>
      </w:tr>
      <w:tr>
        <w:trPr>
          <w:trHeight w:val="162"/>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Period</w:t>
            </w:r>
          </w:p>
        </w:tc>
        <w:tc>
          <w:tcPr>
            <w:tcW w:w="25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b w:val="1"/>
                <w:bCs w:val="1"/>
                <w:color w:val="auto"/>
              </w:rPr>
              <w:t>Settlement Index</w:t>
            </w:r>
          </w:p>
        </w:tc>
        <w:tc>
          <w:tcPr>
            <w:tcW w:w="1620" w:type="dxa"/>
            <w:vAlign w:val="bottom"/>
            <w:tcBorders>
              <w:top w:val="single" w:sz="8" w:color="auto"/>
            </w:tcBorders>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MMBtu</w:t>
            </w:r>
          </w:p>
        </w:tc>
        <w:tc>
          <w:tcPr>
            <w:tcW w:w="150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20" w:type="dxa"/>
            <w:vAlign w:val="bottom"/>
          </w:tcPr>
          <w:p>
            <w:pPr>
              <w:spacing w:after="0"/>
              <w:rPr>
                <w:sz w:val="14"/>
                <w:szCs w:val="14"/>
                <w:color w:val="auto"/>
              </w:rPr>
            </w:pPr>
          </w:p>
        </w:tc>
        <w:tc>
          <w:tcPr>
            <w:tcW w:w="1620" w:type="dxa"/>
            <w:vAlign w:val="bottom"/>
            <w:tcBorders>
              <w:top w:val="single" w:sz="8" w:color="auto"/>
            </w:tcBorders>
            <w:gridSpan w:val="2"/>
          </w:tcPr>
          <w:p>
            <w:pPr>
              <w:jc w:val="center"/>
              <w:ind w:right="160"/>
              <w:spacing w:after="0" w:line="162" w:lineRule="exact"/>
              <w:rPr>
                <w:sz w:val="20"/>
                <w:szCs w:val="20"/>
                <w:color w:val="auto"/>
              </w:rPr>
            </w:pPr>
            <w:r>
              <w:rPr>
                <w:rFonts w:ascii="Times New Roman" w:cs="Times New Roman" w:eastAsia="Times New Roman" w:hAnsi="Times New Roman"/>
                <w:sz w:val="16"/>
                <w:szCs w:val="16"/>
                <w:b w:val="1"/>
                <w:bCs w:val="1"/>
                <w:color w:val="auto"/>
                <w:w w:val="97"/>
              </w:rPr>
              <w:t>MMBtu</w:t>
            </w:r>
          </w:p>
        </w:tc>
        <w:tc>
          <w:tcPr>
            <w:tcW w:w="1520" w:type="dxa"/>
            <w:vAlign w:val="bottom"/>
            <w:tcBorders>
              <w:top w:val="single" w:sz="8" w:color="auto"/>
            </w:tcBorders>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4"/>
        </w:trPr>
        <w:tc>
          <w:tcPr>
            <w:tcW w:w="2280" w:type="dxa"/>
            <w:vAlign w:val="bottom"/>
            <w:vMerge w:val="continue"/>
          </w:tcPr>
          <w:p>
            <w:pPr>
              <w:spacing w:after="0"/>
              <w:rPr>
                <w:sz w:val="18"/>
                <w:szCs w:val="18"/>
                <w:color w:val="auto"/>
              </w:rPr>
            </w:pPr>
          </w:p>
        </w:tc>
        <w:tc>
          <w:tcPr>
            <w:tcW w:w="2580" w:type="dxa"/>
            <w:vAlign w:val="bottom"/>
            <w:gridSpan w:val="2"/>
            <w:vMerge w:val="continue"/>
          </w:tcPr>
          <w:p>
            <w:pPr>
              <w:spacing w:after="0"/>
              <w:rPr>
                <w:sz w:val="18"/>
                <w:szCs w:val="18"/>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000’s)</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Price Differential</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 000’s)</w:t>
            </w: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Price Differential</w:t>
            </w:r>
          </w:p>
        </w:tc>
        <w:tc>
          <w:tcPr>
            <w:tcW w:w="0" w:type="dxa"/>
            <w:vAlign w:val="bottom"/>
          </w:tcPr>
          <w:p>
            <w:pPr>
              <w:spacing w:after="0"/>
              <w:rPr>
                <w:sz w:val="1"/>
                <w:szCs w:val="1"/>
                <w:color w:val="auto"/>
              </w:rPr>
            </w:pPr>
          </w:p>
        </w:tc>
      </w:tr>
      <w:tr>
        <w:trPr>
          <w:trHeight w:val="211"/>
        </w:trPr>
        <w:tc>
          <w:tcPr>
            <w:tcW w:w="2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July—December 2024</w:t>
            </w: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NYMEX Henry Hub/IF Waha</w:t>
            </w: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3,680</w:t>
            </w:r>
          </w:p>
        </w:tc>
        <w:tc>
          <w:tcPr>
            <w:tcW w:w="1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10"/>
        </w:trPr>
        <w:tc>
          <w:tcPr>
            <w:tcW w:w="22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July—December 2024</w:t>
            </w:r>
          </w:p>
        </w:tc>
        <w:tc>
          <w:tcPr>
            <w:tcW w:w="2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NYMEX Henry Hub/IF HSC</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7,360</w:t>
            </w:r>
          </w:p>
        </w:tc>
        <w:tc>
          <w:tcPr>
            <w:tcW w:w="1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color w:val="auto"/>
        </w:rPr>
        <w:t>As of June 30, 2024, the Company had the following open NGL fixed swap contracts: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Production Period</w:t>
            </w:r>
          </w:p>
        </w:tc>
        <w:tc>
          <w:tcPr>
            <w:tcW w:w="3380" w:type="dxa"/>
            <w:vAlign w:val="bottom"/>
            <w:gridSpan w:val="2"/>
            <w:vMerge w:val="restart"/>
          </w:tcPr>
          <w:p>
            <w:pPr>
              <w:ind w:left="1040"/>
              <w:spacing w:after="0"/>
              <w:rPr>
                <w:sz w:val="20"/>
                <w:szCs w:val="20"/>
                <w:color w:val="auto"/>
              </w:rPr>
            </w:pPr>
            <w:r>
              <w:rPr>
                <w:rFonts w:ascii="Times New Roman" w:cs="Times New Roman" w:eastAsia="Times New Roman" w:hAnsi="Times New Roman"/>
                <w:sz w:val="16"/>
                <w:szCs w:val="16"/>
                <w:b w:val="1"/>
                <w:bCs w:val="1"/>
                <w:color w:val="auto"/>
              </w:rPr>
              <w:t>Settlement Index</w:t>
            </w:r>
          </w:p>
        </w:tc>
        <w:tc>
          <w:tcPr>
            <w:tcW w:w="2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MBbls</w:t>
            </w: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 Average Price Differential</w:t>
            </w:r>
          </w:p>
        </w:tc>
        <w:tc>
          <w:tcPr>
            <w:tcW w:w="0" w:type="dxa"/>
            <w:vAlign w:val="bottom"/>
          </w:tcPr>
          <w:p>
            <w:pPr>
              <w:spacing w:after="0"/>
              <w:rPr>
                <w:sz w:val="1"/>
                <w:szCs w:val="1"/>
                <w:color w:val="auto"/>
              </w:rPr>
            </w:pPr>
          </w:p>
        </w:tc>
      </w:tr>
      <w:tr>
        <w:trPr>
          <w:trHeight w:val="214"/>
        </w:trPr>
        <w:tc>
          <w:tcPr>
            <w:tcW w:w="2320" w:type="dxa"/>
            <w:vAlign w:val="bottom"/>
            <w:vMerge w:val="continue"/>
          </w:tcPr>
          <w:p>
            <w:pPr>
              <w:spacing w:after="0"/>
              <w:rPr>
                <w:sz w:val="18"/>
                <w:szCs w:val="18"/>
                <w:color w:val="auto"/>
              </w:rPr>
            </w:pPr>
          </w:p>
        </w:tc>
        <w:tc>
          <w:tcPr>
            <w:tcW w:w="3380" w:type="dxa"/>
            <w:vAlign w:val="bottom"/>
            <w:gridSpan w:val="2"/>
            <w:vMerge w:val="continue"/>
          </w:tcPr>
          <w:p>
            <w:pPr>
              <w:spacing w:after="0"/>
              <w:rPr>
                <w:sz w:val="18"/>
                <w:szCs w:val="18"/>
                <w:color w:val="auto"/>
              </w:rPr>
            </w:pPr>
          </w:p>
        </w:tc>
        <w:tc>
          <w:tcPr>
            <w:tcW w:w="28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000’s)</w:t>
            </w:r>
          </w:p>
        </w:tc>
        <w:tc>
          <w:tcPr>
            <w:tcW w:w="2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2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July—December 2024</w:t>
            </w:r>
          </w:p>
        </w:tc>
        <w:tc>
          <w:tcPr>
            <w:tcW w:w="3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OPIS IsoButane Mt Belvieu Non TET</w:t>
            </w:r>
          </w:p>
        </w:tc>
        <w:tc>
          <w:tcPr>
            <w:tcW w:w="1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tcBorders>
              <w:top w:val="single" w:sz="8" w:color="CCEEFF"/>
            </w:tcBorders>
            <w:shd w:val="clear" w:color="auto" w:fill="CCEEFF"/>
          </w:tcPr>
          <w:p>
            <w:pPr>
              <w:spacing w:after="0"/>
              <w:rPr>
                <w:sz w:val="18"/>
                <w:szCs w:val="18"/>
                <w:color w:val="auto"/>
              </w:rPr>
            </w:pPr>
          </w:p>
        </w:tc>
        <w:tc>
          <w:tcPr>
            <w:tcW w:w="2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r>
        <w:trPr>
          <w:trHeight w:val="210"/>
        </w:trPr>
        <w:tc>
          <w:tcPr>
            <w:tcW w:w="2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July—December 2024</w:t>
            </w:r>
          </w:p>
        </w:tc>
        <w:tc>
          <w:tcPr>
            <w:tcW w:w="3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OPIS NButane Mt Belvieu Non TET</w:t>
            </w:r>
          </w:p>
        </w:tc>
        <w:tc>
          <w:tcPr>
            <w:tcW w:w="27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w:t>
            </w:r>
          </w:p>
        </w:tc>
        <w:tc>
          <w:tcPr>
            <w:tcW w:w="1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$33.18</w:t>
            </w:r>
          </w:p>
        </w:tc>
        <w:tc>
          <w:tcPr>
            <w:tcW w:w="0" w:type="dxa"/>
            <w:vAlign w:val="bottom"/>
          </w:tcPr>
          <w:p>
            <w:pPr>
              <w:spacing w:after="0"/>
              <w:rPr>
                <w:sz w:val="1"/>
                <w:szCs w:val="1"/>
                <w:color w:val="auto"/>
              </w:rPr>
            </w:pPr>
          </w:p>
        </w:tc>
      </w:tr>
    </w:tbl>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Embedded Derivatives</w:t>
      </w:r>
    </w:p>
    <w:p>
      <w:pPr>
        <w:spacing w:after="0" w:line="20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a result of the Callon acquisition, the Company assumed an earn-out obligation from Callon, where the Company could be required to pay up to $50 million in the aggregate if the average daily settlement price of WTI crude oil exceeds $60.00 per barrel for the 2024 and 2025 calendar years. Additionally, in connection with the Callon acquisition, the Company assumed a contingent consideration arrangement. Whereby the Company could receive up to $45 million if the average daily settlement price of WTI crude oil for 2024 is at least $80.00 per barrel. If the average daily settlement price of WTI crude oil for 2024 is less than $80.00 per barrel but at least $75.00 per barrel, then the Company would receive $20 million.</w:t>
      </w:r>
    </w:p>
    <w:p>
      <w:pPr>
        <w:spacing w:after="0" w:line="14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determined that the earn-out obligation and contingent consideration receipt were not clearly and closely related to the underlying agreements and therefore bifurcated these embedded features and recorded these derivatives at fair value. For further discussion of these derivatives, refer to “Fair Value Measurements” below.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Fair Value Measurements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Company’s derivative assets and liabilities measured at fair value on a recurring basis: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80" w:type="dxa"/>
            <w:vAlign w:val="bottom"/>
            <w:gridSpan w:val="8"/>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380" w:type="dxa"/>
            <w:vAlign w:val="bottom"/>
            <w:tcBorders>
              <w:top w:val="single" w:sz="8" w:color="auto"/>
            </w:tcBorders>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Quoted Price in</w:t>
            </w:r>
          </w:p>
        </w:tc>
        <w:tc>
          <w:tcPr>
            <w:tcW w:w="1400" w:type="dxa"/>
            <w:vAlign w:val="bottom"/>
            <w:tcBorders>
              <w:top w:val="single" w:sz="8" w:color="auto"/>
            </w:tcBorders>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Significant Other</w:t>
            </w: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center"/>
              <w:ind w:right="60"/>
              <w:spacing w:after="0" w:line="162"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Unobservable</w:t>
            </w:r>
          </w:p>
        </w:tc>
        <w:tc>
          <w:tcPr>
            <w:tcW w:w="120" w:type="dxa"/>
            <w:vAlign w:val="bottom"/>
          </w:tcPr>
          <w:p>
            <w:pPr>
              <w:spacing w:after="0"/>
              <w:rPr>
                <w:sz w:val="14"/>
                <w:szCs w:val="14"/>
                <w:color w:val="auto"/>
              </w:rPr>
            </w:pPr>
          </w:p>
        </w:tc>
        <w:tc>
          <w:tcPr>
            <w:tcW w:w="9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162"/>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Active Markets</w:t>
            </w:r>
          </w:p>
        </w:tc>
        <w:tc>
          <w:tcPr>
            <w:tcW w:w="220" w:type="dxa"/>
            <w:vAlign w:val="bottom"/>
          </w:tcPr>
          <w:p>
            <w:pPr>
              <w:spacing w:after="0"/>
              <w:rPr>
                <w:sz w:val="14"/>
                <w:szCs w:val="14"/>
                <w:color w:val="auto"/>
              </w:rPr>
            </w:pPr>
          </w:p>
        </w:tc>
        <w:tc>
          <w:tcPr>
            <w:tcW w:w="118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Inputs</w:t>
            </w:r>
          </w:p>
        </w:tc>
        <w:tc>
          <w:tcPr>
            <w:tcW w:w="1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Netting</w:t>
            </w:r>
            <w:r>
              <w:rPr>
                <w:rFonts w:ascii="Times New Roman" w:cs="Times New Roman" w:eastAsia="Times New Roman" w:hAnsi="Times New Roman"/>
                <w:sz w:val="21"/>
                <w:szCs w:val="21"/>
                <w:b w:val="1"/>
                <w:bCs w:val="1"/>
                <w:color w:val="auto"/>
                <w:vertAlign w:val="superscript"/>
              </w:rPr>
              <w:t>(1)</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27"/>
        </w:trPr>
        <w:tc>
          <w:tcPr>
            <w:tcW w:w="3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
        </w:trPr>
        <w:tc>
          <w:tcPr>
            <w:tcW w:w="3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Commodity derivative instruments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Contingent consideration arrangements</w:t>
            </w:r>
          </w:p>
        </w:tc>
        <w:tc>
          <w:tcPr>
            <w:tcW w:w="10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2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Commodity derivative instruments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ind w:left="64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3"/>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Contingent consideration arrangements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4"/>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Commodity derivative instruments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2"/>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bl>
    <w:p>
      <w:pPr>
        <w:spacing w:after="0" w:line="1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 derivative fair values are based on analysis of each contract on a gross basis, excluding the impact of netting agreements with counterparties.</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8" w:name="page19"/>
    <w:bookmarkEnd w:id="18"/>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embedded options within the earn-out obligation and contingent consideration arrangements discussed above are considered financial instruments under ASC 815. The Company uses a market approach to estimate the fair values of these derivatives on a recurring basis, utilizing an option pricing model method provided by a reputable third party. The valuation includes significant inputs such as forward oil price curves, time to expiration, and implied volatility. As these inputs are substantially observable for the full term of the contingent consideration arrangements, the inputs are considered a Level 2 fair value measurement. As of June 30, 2024, the estimated fair values of the earn-out obligation and contingent consideration receipt were $42 million and $25 million, respectively.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Activity Recorded in the Consolidated Balance Sheet</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All derivative instruments are reflected as either assets or liabilities at fair value in the consolidated balance sheet. These fair values are recorded by netting asset and liability positions where counterparty master netting arrangements contain provisions for net settlement. The carrying value of the Company’s derivative assets and liabilities and their locations on the consolidated balance sheet are as follows:</w:t>
      </w:r>
    </w:p>
    <w:tbl>
      <w:tblPr>
        <w:tblLayout w:type="fixed"/>
        <w:tblInd w:w="0" w:type="dxa"/>
        <w:tblCellMar>
          <w:top w:w="0" w:type="dxa"/>
          <w:left w:w="0" w:type="dxa"/>
          <w:bottom w:w="0" w:type="dxa"/>
          <w:right w:w="0" w:type="dxa"/>
        </w:tblCellMar>
      </w:tblPr>
      <w:tr>
        <w:trPr>
          <w:trHeight w:val="167"/>
        </w:trPr>
        <w:tc>
          <w:tcPr>
            <w:tcW w:w="8080" w:type="dxa"/>
            <w:vAlign w:val="bottom"/>
          </w:tcPr>
          <w:p>
            <w:pPr>
              <w:spacing w:after="0"/>
              <w:rPr>
                <w:sz w:val="14"/>
                <w:szCs w:val="14"/>
                <w:color w:val="auto"/>
              </w:rPr>
            </w:pPr>
          </w:p>
        </w:tc>
        <w:tc>
          <w:tcPr>
            <w:tcW w:w="112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spacing w:after="0" w:line="167"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260" w:type="dxa"/>
            <w:vAlign w:val="bottom"/>
          </w:tcPr>
          <w:p>
            <w:pPr>
              <w:spacing w:after="0"/>
              <w:rPr>
                <w:sz w:val="14"/>
                <w:szCs w:val="14"/>
                <w:color w:val="auto"/>
              </w:rPr>
            </w:pPr>
          </w:p>
        </w:tc>
      </w:tr>
      <w:tr>
        <w:trPr>
          <w:trHeight w:val="214"/>
        </w:trPr>
        <w:tc>
          <w:tcPr>
            <w:tcW w:w="8080" w:type="dxa"/>
            <w:vAlign w:val="bottom"/>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60" w:type="dxa"/>
            <w:vAlign w:val="bottom"/>
            <w:tcBorders>
              <w:bottom w:val="single" w:sz="8" w:color="auto"/>
            </w:tcBorders>
          </w:tcPr>
          <w:p>
            <w:pPr>
              <w:spacing w:after="0"/>
              <w:rPr>
                <w:sz w:val="18"/>
                <w:szCs w:val="18"/>
                <w:color w:val="auto"/>
              </w:rPr>
            </w:pPr>
          </w:p>
        </w:tc>
      </w:tr>
      <w:tr>
        <w:trPr>
          <w:trHeight w:val="215"/>
        </w:trPr>
        <w:tc>
          <w:tcPr>
            <w:tcW w:w="8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gridSpan w:val="3"/>
          </w:tcPr>
          <w:p>
            <w:pPr>
              <w:jc w:val="right"/>
              <w:ind w:right="8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4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 Other current assets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2"/>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derivative assets</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r>
      <w:tr>
        <w:trPr>
          <w:trHeight w:val="24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 Other current liabilities</w:t>
            </w:r>
          </w:p>
        </w:tc>
        <w:tc>
          <w:tcPr>
            <w:tcW w:w="112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0"/>
                <w:szCs w:val="20"/>
                <w:color w:val="auto"/>
              </w:rPr>
            </w:pP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Credit and Other Noncurrent Liabilities: Other</w:t>
            </w:r>
          </w:p>
        </w:tc>
        <w:tc>
          <w:tcPr>
            <w:tcW w:w="112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1120" w:type="dxa"/>
            <w:vAlign w:val="bottom"/>
            <w:tcBorders>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1260" w:type="dxa"/>
            <w:vAlign w:val="bottom"/>
            <w:tcBorders>
              <w:bottom w:val="single" w:sz="8" w:color="auto"/>
            </w:tcBorders>
          </w:tcPr>
          <w:p>
            <w:pPr>
              <w:jc w:val="right"/>
              <w:ind w:right="1079"/>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8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Derivative Activity Recorded in the Statement of Consolidated Operations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effect of derivative instruments on the Company’s statement of consolidated operations: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8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80" w:type="dxa"/>
            <w:vAlign w:val="bottom"/>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460" w:type="dxa"/>
            <w:vAlign w:val="bottom"/>
          </w:tcPr>
          <w:p>
            <w:pPr>
              <w:spacing w:after="0"/>
              <w:rPr>
                <w:sz w:val="16"/>
                <w:szCs w:val="16"/>
                <w:color w:val="auto"/>
              </w:rPr>
            </w:pPr>
          </w:p>
        </w:tc>
      </w:tr>
      <w:tr>
        <w:trPr>
          <w:trHeight w:val="214"/>
        </w:trPr>
        <w:tc>
          <w:tcPr>
            <w:tcW w:w="48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Borders>
              <w:bottom w:val="single" w:sz="8" w:color="auto"/>
            </w:tcBorders>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r>
      <w:tr>
        <w:trPr>
          <w:trHeight w:val="215"/>
        </w:trPr>
        <w:tc>
          <w:tcPr>
            <w:tcW w:w="4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60" w:type="dxa"/>
            <w:vAlign w:val="bottom"/>
            <w:gridSpan w:val="3"/>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
        </w:trPr>
        <w:tc>
          <w:tcPr>
            <w:tcW w:w="4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Realized:</w:t>
            </w: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r>
      <w:tr>
        <w:trPr>
          <w:trHeight w:val="240"/>
        </w:trPr>
        <w:tc>
          <w:tcPr>
            <w:tcW w:w="4860" w:type="dxa"/>
            <w:vAlign w:val="bottom"/>
            <w:tcBorders>
              <w:bottom w:val="single" w:sz="8" w:color="CCEEFF"/>
            </w:tcBorders>
          </w:tcPr>
          <w:p>
            <w:pPr>
              <w:jc w:val="center"/>
              <w:ind w:right="2159"/>
              <w:spacing w:after="0"/>
              <w:rPr>
                <w:sz w:val="20"/>
                <w:szCs w:val="20"/>
                <w:color w:val="auto"/>
              </w:rPr>
            </w:pPr>
            <w:r>
              <w:rPr>
                <w:rFonts w:ascii="Times New Roman" w:cs="Times New Roman" w:eastAsia="Times New Roman" w:hAnsi="Times New Roman"/>
                <w:sz w:val="16"/>
                <w:szCs w:val="16"/>
                <w:color w:val="auto"/>
              </w:rPr>
              <w:t>Commodity derivative instruments</w:t>
            </w: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color w:val="auto"/>
                <w:w w:val="96"/>
              </w:rPr>
              <w:t>(6)</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tcBorders>
              <w:bottom w:val="single" w:sz="8" w:color="CCEEFF"/>
            </w:tcBorders>
          </w:tcPr>
          <w:p>
            <w:pPr>
              <w:spacing w:after="0"/>
              <w:rPr>
                <w:sz w:val="20"/>
                <w:szCs w:val="20"/>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40"/>
        </w:trPr>
        <w:tc>
          <w:tcPr>
            <w:tcW w:w="4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Realized gains (losses), net</w:t>
            </w: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6"/>
              </w:rPr>
              <w:t>(6)</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6"/>
              </w:rPr>
              <w:t>(2)</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w:t>
            </w: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46"/>
        </w:trPr>
        <w:tc>
          <w:tcPr>
            <w:tcW w:w="4860" w:type="dxa"/>
            <w:vAlign w:val="bottom"/>
            <w:shd w:val="clear" w:color="auto" w:fill="CCEEFF"/>
          </w:tcPr>
          <w:p>
            <w:pPr>
              <w:jc w:val="center"/>
              <w:ind w:right="2159"/>
              <w:spacing w:after="0"/>
              <w:rPr>
                <w:sz w:val="20"/>
                <w:szCs w:val="20"/>
                <w:color w:val="auto"/>
              </w:rPr>
            </w:pPr>
            <w:r>
              <w:rPr>
                <w:rFonts w:ascii="Times New Roman" w:cs="Times New Roman" w:eastAsia="Times New Roman" w:hAnsi="Times New Roman"/>
                <w:sz w:val="16"/>
                <w:szCs w:val="16"/>
                <w:color w:val="auto"/>
              </w:rPr>
              <w:t>Commodity derivative instruments</w:t>
            </w:r>
          </w:p>
        </w:tc>
        <w:tc>
          <w:tcPr>
            <w:tcW w:w="1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center"/>
              <w:ind w:left="11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6"/>
              </w:rPr>
              <w:t>(5)</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07"/>
        </w:trPr>
        <w:tc>
          <w:tcPr>
            <w:tcW w:w="4860" w:type="dxa"/>
            <w:vAlign w:val="bottom"/>
            <w:tcBorders>
              <w:bottom w:val="single" w:sz="8" w:color="CCEEFF"/>
            </w:tcBorders>
          </w:tcPr>
          <w:p>
            <w:pPr>
              <w:jc w:val="center"/>
              <w:ind w:right="2159"/>
              <w:spacing w:after="0"/>
              <w:rPr>
                <w:sz w:val="20"/>
                <w:szCs w:val="20"/>
                <w:color w:val="auto"/>
              </w:rPr>
            </w:pPr>
            <w:r>
              <w:rPr>
                <w:rFonts w:ascii="Times New Roman" w:cs="Times New Roman" w:eastAsia="Times New Roman" w:hAnsi="Times New Roman"/>
                <w:sz w:val="16"/>
                <w:szCs w:val="16"/>
                <w:color w:val="auto"/>
              </w:rPr>
              <w:t>Unrealized gains (losses), net</w:t>
            </w: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center"/>
              <w:ind w:left="11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w w:val="96"/>
              </w:rPr>
              <w:t>(5)</w:t>
            </w:r>
          </w:p>
        </w:tc>
        <w:tc>
          <w:tcPr>
            <w:tcW w:w="12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37"/>
        </w:trPr>
        <w:tc>
          <w:tcPr>
            <w:tcW w:w="4860" w:type="dxa"/>
            <w:vAlign w:val="bottom"/>
            <w:tcBorders>
              <w:bottom w:val="single" w:sz="8" w:color="CCEEFF"/>
            </w:tcBorders>
            <w:shd w:val="clear" w:color="auto" w:fill="CCEEFF"/>
          </w:tcPr>
          <w:p>
            <w:pPr>
              <w:jc w:val="center"/>
              <w:ind w:right="2119"/>
              <w:spacing w:after="0"/>
              <w:rPr>
                <w:sz w:val="20"/>
                <w:szCs w:val="20"/>
                <w:color w:val="auto"/>
              </w:rPr>
            </w:pPr>
            <w:r>
              <w:rPr>
                <w:rFonts w:ascii="Times New Roman" w:cs="Times New Roman" w:eastAsia="Times New Roman" w:hAnsi="Times New Roman"/>
                <w:sz w:val="16"/>
                <w:szCs w:val="16"/>
                <w:color w:val="auto"/>
              </w:rPr>
              <w:t>Derivative instrument gains (losses), net</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center"/>
              <w:ind w:left="99"/>
              <w:spacing w:after="0"/>
              <w:rPr>
                <w:sz w:val="20"/>
                <w:szCs w:val="20"/>
                <w:color w:val="auto"/>
              </w:rPr>
            </w:pPr>
            <w:r>
              <w:rPr>
                <w:rFonts w:ascii="Times New Roman" w:cs="Times New Roman" w:eastAsia="Times New Roman" w:hAnsi="Times New Roman"/>
                <w:sz w:val="16"/>
                <w:szCs w:val="16"/>
                <w:color w:val="auto"/>
                <w:w w:val="96"/>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w w:val="96"/>
              </w:rPr>
              <w:t>(7)</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Derivative instrument gains and losses are recorded in “Derivative instrument gains (losses), net” under “Revenues and Other” in the Company’s statement of consolidated operations. Unrealized gains (losses) for derivative activity recorded in the statement of consolidated operations are reflected in the statement of consolidated cash flows separately as “Unrealized derivative instrument (gains) losses, net” under “Adjustments to reconcile net income to net cash provided by operating activities.”</w:t>
      </w:r>
    </w:p>
    <w:p>
      <w:pPr>
        <w:spacing w:after="0" w:line="17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OTHER CURRENT ASSETS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detail of the Company’s other current assets: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Pr>
          <w:p>
            <w:pPr>
              <w:spacing w:after="0"/>
              <w:rPr>
                <w:sz w:val="18"/>
                <w:szCs w:val="18"/>
                <w:color w:val="auto"/>
              </w:rPr>
            </w:pPr>
          </w:p>
        </w:tc>
        <w:tc>
          <w:tcPr>
            <w:tcW w:w="11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4"/>
        </w:trPr>
        <w:tc>
          <w:tcPr>
            <w:tcW w:w="80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Drilling advances</w:t>
            </w:r>
          </w:p>
        </w:tc>
        <w:tc>
          <w:tcPr>
            <w:tcW w:w="1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assets and other</w:t>
            </w:r>
          </w:p>
        </w:tc>
        <w:tc>
          <w:tcPr>
            <w:tcW w:w="11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decommissioning security for sold Gulf of Mexico assets</w:t>
            </w:r>
          </w:p>
        </w:tc>
        <w:tc>
          <w:tcPr>
            <w:tcW w:w="1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w:t>
            </w:r>
          </w:p>
        </w:tc>
      </w:tr>
      <w:tr>
        <w:trPr>
          <w:trHeight w:val="237"/>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Other current assets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765</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19" w:name="page20"/>
    <w:bookmarkEnd w:id="19"/>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EQUITY METHOD INTERESTS</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held 13.1 million Kinetik Shares, which were recorded at fair value of $437 million and reflected separately as “Equity method interests” in the Company’s consolidated balance sheet. The Company elected the fair value option for measuring its equity method interest in Kinetik based on practical expedience, variances in reporting timelines, and cost-benefit considerations. The fair value of the Company’s interest in Kinetik was determined using observable share prices on a major exchange, a Level 1 fair value measurement. On March 18, 2024, the Company sold its remaining Kinetik Shares for cash proceeds of $428 million.</w:t>
      </w:r>
    </w:p>
    <w:p>
      <w:pPr>
        <w:spacing w:after="0" w:line="15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Prior to the Company’s sale of its remaining Kinetik Shares and the resignation of the Company’s designated director from the Kinetik board of directors, the Company recorded changes in the fair value of its equity method interest in Kinetik totaling a loss of $9 million in the first quarter of 2024, and gains of $90 million and $71 million in the second quarter and the first six months of 2023, respectively. This loss and these gains were recorded as a component of “Revenues and Other” in the Company’s statement of consolidated operations.</w:t>
      </w:r>
    </w:p>
    <w:p>
      <w:pPr>
        <w:spacing w:after="0" w:line="13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following table represents related party sales and costs associated with Kinetik prior to the Company’s sale of its remaining Kinetik Shares and the resignation of the Company’s designated director from the Kinetik board of directors: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00" w:type="dxa"/>
            <w:vAlign w:val="bottom"/>
          </w:tcPr>
          <w:p>
            <w:pPr>
              <w:spacing w:after="0"/>
              <w:rPr>
                <w:sz w:val="16"/>
                <w:szCs w:val="16"/>
                <w:color w:val="auto"/>
              </w:rPr>
            </w:pPr>
          </w:p>
        </w:tc>
        <w:tc>
          <w:tcPr>
            <w:tcW w:w="2660" w:type="dxa"/>
            <w:vAlign w:val="bottom"/>
            <w:gridSpan w:val="4"/>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6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4"/>
        </w:trPr>
        <w:tc>
          <w:tcPr>
            <w:tcW w:w="490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09"/>
        </w:trPr>
        <w:tc>
          <w:tcPr>
            <w:tcW w:w="4900" w:type="dxa"/>
            <w:vAlign w:val="bottom"/>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49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
        </w:trPr>
        <w:tc>
          <w:tcPr>
            <w:tcW w:w="49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 and NGLs sales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Purchased oil and gas sales</w:t>
            </w:r>
          </w:p>
        </w:tc>
        <w:tc>
          <w:tcPr>
            <w:tcW w:w="10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35"/>
        </w:trPr>
        <w:tc>
          <w:tcPr>
            <w:tcW w:w="490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66"/>
        </w:trPr>
        <w:tc>
          <w:tcPr>
            <w:tcW w:w="4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Gathering, processing, and transmission costs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4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Purchased oil and gas costs</w:t>
            </w:r>
          </w:p>
        </w:tc>
        <w:tc>
          <w:tcPr>
            <w:tcW w:w="108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9"/>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operating expenses</w:t>
            </w:r>
          </w:p>
        </w:tc>
        <w:tc>
          <w:tcPr>
            <w:tcW w:w="10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7"/>
        </w:trPr>
        <w:tc>
          <w:tcPr>
            <w:tcW w:w="49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Pr>
          <w:p>
            <w:pPr>
              <w:spacing w:after="0"/>
              <w:rPr>
                <w:sz w:val="17"/>
                <w:szCs w:val="17"/>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3"/>
        </w:trPr>
        <w:tc>
          <w:tcPr>
            <w:tcW w:w="49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OTHER CURRENT LIABILITIES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provides detail of the Company’s other current liabilities: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operating expenses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exploration and development</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 retirement obligation</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operating lease liability</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decommissioning contingency for sold Gulf of Mexico properties</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r>
      <w:tr>
        <w:trPr>
          <w:trHeight w:val="212"/>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Other current liabilities</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1,875</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w:t>
            </w:r>
          </w:p>
        </w:tc>
      </w:tr>
      <w:tr>
        <w:trPr>
          <w:trHeight w:val="20"/>
        </w:trPr>
        <w:tc>
          <w:tcPr>
            <w:tcW w:w="8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0" w:name="page21"/>
    <w:bookmarkEnd w:id="20"/>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7"/>
          <w:szCs w:val="17"/>
          <w:b w:val="1"/>
          <w:bCs w:val="1"/>
          <w:color w:val="auto"/>
        </w:rPr>
        <w:t>ASSET RETIREMENT OBLIGATION</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describes changes to the Company’s asset retirement obligation (ARO) liability:</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14"/>
        </w:trPr>
        <w:tc>
          <w:tcPr>
            <w:tcW w:w="9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2024</w:t>
            </w:r>
          </w:p>
        </w:tc>
      </w:tr>
      <w:tr>
        <w:trPr>
          <w:trHeight w:val="192"/>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2"/>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 retirement obligation, December 31, 2023</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2,438</w:t>
            </w:r>
          </w:p>
        </w:tc>
      </w:tr>
      <w:tr>
        <w:trPr>
          <w:trHeight w:val="213"/>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Liabilities incurred</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9"/>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Liabilities acquired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213"/>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Liabilities settled</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9"/>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Liabilities divested</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3"/>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Accretion expense</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r>
      <w:tr>
        <w:trPr>
          <w:trHeight w:val="219"/>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Revisions in estimated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7"/>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 June 30, 2024</w:t>
            </w:r>
          </w:p>
        </w:tc>
        <w:tc>
          <w:tcPr>
            <w:tcW w:w="2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2,590</w:t>
            </w:r>
          </w:p>
        </w:tc>
      </w:tr>
      <w:tr>
        <w:trPr>
          <w:trHeight w:val="216"/>
        </w:trPr>
        <w:tc>
          <w:tcPr>
            <w:tcW w:w="9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current portion</w:t>
            </w:r>
          </w:p>
        </w:tc>
        <w:tc>
          <w:tcPr>
            <w:tcW w:w="2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12"/>
        </w:trPr>
        <w:tc>
          <w:tcPr>
            <w:tcW w:w="9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 long-term</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2,515</w:t>
            </w:r>
          </w:p>
        </w:tc>
      </w:tr>
      <w:tr>
        <w:trPr>
          <w:trHeight w:val="21"/>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DEBT AND FINANCING COSTS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carrying values of the Company’s debt: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color w:val="auto"/>
              </w:rPr>
              <w:t>Apache notes and debentures before unamortized discount and debt issuance costs</w:t>
            </w:r>
            <w:r>
              <w:rPr>
                <w:rFonts w:ascii="Times New Roman" w:cs="Times New Roman" w:eastAsia="Times New Roman" w:hAnsi="Times New Roman"/>
                <w:sz w:val="21"/>
                <w:szCs w:val="21"/>
                <w:color w:val="auto"/>
                <w:vertAlign w:val="superscript"/>
              </w:rPr>
              <w:t>(1)</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4,835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w:t>
            </w:r>
          </w:p>
        </w:tc>
      </w:tr>
      <w:tr>
        <w:trPr>
          <w:trHeight w:val="216"/>
        </w:trPr>
        <w:tc>
          <w:tcPr>
            <w:tcW w:w="80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Term loan facility, commercial paper, and syndicated credit facilities</w:t>
            </w:r>
            <w:r>
              <w:rPr>
                <w:rFonts w:ascii="Times New Roman" w:cs="Times New Roman" w:eastAsia="Times New Roman" w:hAnsi="Times New Roman"/>
                <w:sz w:val="21"/>
                <w:szCs w:val="21"/>
                <w:color w:val="auto"/>
                <w:vertAlign w:val="superscript"/>
              </w:rPr>
              <w:t>(2)</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1,935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Apache finance lease obligations</w:t>
            </w:r>
          </w:p>
        </w:tc>
        <w:tc>
          <w:tcPr>
            <w:tcW w:w="10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Unamortized discount</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issuance costs</w:t>
            </w:r>
          </w:p>
        </w:tc>
        <w:tc>
          <w:tcPr>
            <w:tcW w:w="10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7"/>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debt</w:t>
            </w:r>
          </w:p>
        </w:tc>
        <w:tc>
          <w:tcPr>
            <w:tcW w:w="10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6,743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w:t>
            </w: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maturities</w:t>
            </w:r>
          </w:p>
        </w:tc>
        <w:tc>
          <w:tcPr>
            <w:tcW w:w="10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6,741</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5,186</w:t>
            </w:r>
          </w:p>
        </w:tc>
      </w:tr>
      <w:tr>
        <w:trPr>
          <w:trHeight w:val="20"/>
        </w:trPr>
        <w:tc>
          <w:tcPr>
            <w:tcW w:w="80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The fair values of the Apache notes and debentures were $4.3 billion at each of June 30, 2024 and December 31, 2023.</w:t>
      </w:r>
    </w:p>
    <w:p>
      <w:pPr>
        <w:spacing w:after="0" w:line="69" w:lineRule="exact"/>
        <w:rPr>
          <w:sz w:val="20"/>
          <w:szCs w:val="20"/>
          <w:color w:val="auto"/>
        </w:rPr>
      </w:pPr>
    </w:p>
    <w:p>
      <w:pPr>
        <w:ind w:left="260"/>
        <w:spacing w:after="0" w:line="291" w:lineRule="auto"/>
        <w:rPr>
          <w:sz w:val="20"/>
          <w:szCs w:val="20"/>
          <w:color w:val="auto"/>
        </w:rPr>
      </w:pPr>
      <w:r>
        <w:rPr>
          <w:rFonts w:ascii="Times New Roman" w:cs="Times New Roman" w:eastAsia="Times New Roman" w:hAnsi="Times New Roman"/>
          <w:sz w:val="14"/>
          <w:szCs w:val="14"/>
          <w:color w:val="auto"/>
        </w:rPr>
        <w:t>The Company uses a market approach to determine the fair values of its notes and debentures using estimates provided by an independent investment financial data services firm (a Level 2 fair value measurement).</w:t>
      </w:r>
    </w:p>
    <w:p>
      <w:pPr>
        <w:spacing w:after="0" w:line="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w:t>
        <w:tab/>
        <w:t>The carrying value of borrowings on the term loan facility, commercial paper and credit facilities approximates fair value because interest rates are variable and reflective of market rates.</w:t>
      </w:r>
    </w:p>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At each of June 30, 2024 and December 31, 2023, current debt included $2 million of finance lease obligations.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Costs, Net</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financing costs, net: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8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8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4"/>
        </w:trPr>
        <w:tc>
          <w:tcPr>
            <w:tcW w:w="48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10"/>
        </w:trPr>
        <w:tc>
          <w:tcPr>
            <w:tcW w:w="486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
        </w:trPr>
        <w:tc>
          <w:tcPr>
            <w:tcW w:w="4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Financing costs, net</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0"/>
        </w:trPr>
        <w:tc>
          <w:tcPr>
            <w:tcW w:w="4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Apache purchased in the open market and canceled senior notes issued under its indentures in an aggregate principal amount of $74 million for an aggregate purchase price of $65 million in cash. The Company recognized a $9 million gain on these repurchases.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auto"/>
        </w:rPr>
        <w:t>Unsecured 2022 Committed Credit Facilities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April 29, 2022, the Company entered into two unsecured syndicated credit agreements for general corporate purposes.</w:t>
      </w:r>
    </w:p>
    <w:p>
      <w:pPr>
        <w:spacing w:after="0" w:line="185" w:lineRule="exact"/>
        <w:rPr>
          <w:sz w:val="20"/>
          <w:szCs w:val="20"/>
          <w:color w:val="auto"/>
        </w:rPr>
      </w:pPr>
    </w:p>
    <w:p>
      <w:pPr>
        <w:jc w:val="both"/>
        <w:ind w:left="660" w:hanging="328"/>
        <w:spacing w:after="0" w:line="261"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agreement is denominated in US dollars (the USD Agreement) and provides for an unsecured five-year revolving credit facility, with aggregate commitments of US$1.8 billion (including a letter of credit subfacility of up to US$750 million, of which US$150 million currently is committed). The Company may increase commitments up to an aggregate US$2.3 billion by adding new lenders or obtaining the consent of any increasing existing lenders. This facility matures in April 2027, subject to the Company’s two, one-year extension options.</w:t>
      </w:r>
    </w:p>
    <w:p>
      <w:pPr>
        <w:spacing w:after="0" w:line="13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agreement is denominated in pounds sterling (the GBP Agreement) and provides for an unsecured five-year revolving credit facility, with aggregate commitments of £1.5 billion for loans and letters of credit. This facility matures in April 2027, subject to the Company’s two, one-year extension options.</w:t>
      </w:r>
    </w:p>
    <w:p>
      <w:pPr>
        <w:spacing w:after="0" w:line="20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Apache may borrow under the USD Agreement up to an aggregate principal amount of US$300 million outstanding at any given time. Apache has guaranteed obligations under each of the USD Agreement and GBP Agreement effective until the aggregate principal amount of indebtedness under senior notes and debentures outstanding under Apache’s existing indentures first is less than US$1.0 billion.</w:t>
      </w:r>
    </w:p>
    <w:p>
      <w:pPr>
        <w:spacing w:after="0" w:line="14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June 30, 2024, there were $395 million of borrowings under the USD Agreement and an aggregate £348 million in letters of credit outstanding under the GBP Agreement. As of June 30, 2024, there were no letters of credit outstanding under the USD Agreement. As of December 31, 2023, there were $372 million of borrowings under the USD Agreement and an aggregate £348 million in letters of credit outstanding under the GBP Agreement. As of December 31, 2023, there were no letters of credit outstanding under the USD Agreement.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Uncommitted Lines of Credit</w:t>
      </w:r>
    </w:p>
    <w:p>
      <w:pPr>
        <w:spacing w:after="0" w:line="18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Each of the Company and Apache, from time to time, has and uses uncommitted credit and letter of credit facilities for working capital and credit support purposes. As of June 30, 2024 and December 31, 2023, there were no outstanding borrowings under these facilities. As of June 30, 2024, there were £416 million and $11 million, respectively, in letters of credit outstanding under these facilities. As of December 31, 2023, there were £416 million and $2 million, respectively, in letters of credit outstanding under these facilities.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 Paper Program</w:t>
      </w:r>
    </w:p>
    <w:p>
      <w:pPr>
        <w:spacing w:after="0" w:line="18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December 2023, the Company established a commercial paper program under which it from time to time may issue in private placements exempt from registration under the Securities Act short-term unsecured promissory notes (CP Notes) up to a maximum aggregate face amount of $1.8 billion outstanding at any time. The maturities of CP Notes may vary but may not exceed 397 days from the date of issuance. Outstanding CP Notes are supported by available borrowing capacity under the Company’s committed $1.8 billion USD Agreement.</w:t>
      </w:r>
    </w:p>
    <w:p>
      <w:pPr>
        <w:spacing w:after="0" w:line="13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Payment of CP Notes has been unconditionally guaranteed on an unsecured basis by Apache, such guarantee effective until the first time that the aggregate principal amount of indebtedness under senior notes and debentures outstanding under Apache’s existing indentures is less than US$1.0 billion.</w:t>
      </w:r>
    </w:p>
    <w:p>
      <w:pPr>
        <w:spacing w:after="0" w:line="13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June 30, 2024, there was $40 million in aggregate face amount of CP Notes outstanding, which is classified as long-term debt. As of December 31, 2023, there were no CP Notes outstanding.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auto"/>
        </w:rPr>
        <w:t>Unsecured Committed Term Loan Facility</w:t>
      </w:r>
    </w:p>
    <w:p>
      <w:pPr>
        <w:spacing w:after="0" w:line="20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On January 30, 2024, APA entered into a syndicated credit agreement under which the lenders committed an aggregate $2.0 billion for senior unsecured delayed-draw term loans to APA (Term Loan Credit Agreement), the proceeds of which could be used to refinance certain indebtedness of Callon only once upon the date of the closings under the Merger Agreement and Term Loan Credit Agreement. Of such aggregate commitments, $1.5 billion was for term loans that would mature three years after the date of such closings (3-Year Tranche Loans) and $500 million was for term loans that would mature 364 days after the date of such closings (364-Day Tranche Loans). Apache has guaranteed obligations under the Term Loan Credit Agreement effective until the aggregate principal amount of indebtedness under senior notes and debentures outstanding under Apache’s existing indentures first is less than $1.0 billion.</w:t>
      </w:r>
    </w:p>
    <w:p>
      <w:pPr>
        <w:spacing w:after="0" w:line="148"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On April 1, 2024, APA closed the transactions under the Term Loan Credit Agreement, electing to borrow an aggregate $1.5 billion in 3-Year Tranche Loans maturing April 1, 2027 and to allow the lender commitments for the 364-Day Tranche Loans to expire.</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Loan proceeds were used to refinance certain indebtedness of Callon upon the substantially simultaneous closing of APA’s acquisition of Callon pursuant to the Merger Agreement and to pay related fees and expenses. APA may at any time prepay loans under the Term Loan Credit Agreement. As of June 30, 2024, $1.5 billion in 3-Year Tranche Loans remained outstanding under the Term Loan Credit Agreement.</w:t>
      </w:r>
    </w:p>
    <w:p>
      <w:pPr>
        <w:spacing w:after="0" w:line="14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Indebtedness of Callon that APA could refinance by borrowing under the Term Loan Credit Agreement included indebtedness outstanding under (i) the Amended and Restated Credit Agreement, dated October 19, 2022, among Callon, JPMorgan Chase Bank, N.A., as administrative agent, and the lenders party thereto (Callon Credit Agreement), (ii) Callon’s 6.375% Senior Notes due 2026 (Callon’s 2026 Notes), (iii) Callon’s 8.00% Senior Notes due 2028 (Callon’s 2028 Notes), and (iv) Callon’s 7.500% Senior Notes due 2030 (Callon’s 2030 Notes).</w:t>
      </w:r>
    </w:p>
    <w:p>
      <w:pPr>
        <w:spacing w:after="0" w:line="13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April 1, 2024, all indebtedness under the Callon Credit Agreement and Callon’s 2026 Notes was repaid, and the aggregate principal balance remaining outstanding under Callon’s 2028 Notes and Callon’s 2030 Notes was reduced to $24 million. On May 6, 2024, all remaining indebtedness under Callon’s 2028 Notes and Callon’s 2030 Notes was repaid. Given these repayments, no guarantee by Callon of APA’s obligations under the Term Loan Credit Agreement is required.</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April 1, 2024, the following Callon indebtedness was repaid by borrowings under the Term Loan Credit Agreement and the USD Agreement:</w:t>
      </w:r>
    </w:p>
    <w:p>
      <w:pPr>
        <w:spacing w:after="0" w:line="198"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Callon closed cash tender offers for Callon’s 2028 Notes and Callon’s 2030 Notes, accepting for purchase $1.2 billion aggregate principal amount of notes. Callon paid holders an aggregate $1.3 billion in cash, reflecting principal, premium to par, early tender consent fee, and accrued and unpaid interest.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Callon redeemed the outstanding $321 million principal amount of Callon’s 2026 Notes at a redemption price equal to 101.063% of their principal amount, plus accrued and unpaid interest to the redemption date.</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Callon repaid the aggregate $472 million owed under the Callon Credit Agreement, including principal, accrued and unpaid interest, and certain fees.</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May 6, 2024, Callon fully redeemed the remaining outstanding $8 million principal amount of Callon’s 2028 Notes at a redemption price equal to 101.588% of their principal amount and $16 million principal amount of Callon’s 2030 Notes at a redemption price equal to 102.803% of their principal amount, in each case, plus accrued and unpaid interest to the redemption date. The repayments were partially funded by borrowing under the USD Agreement.</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3" w:name="page24"/>
    <w:bookmarkEnd w:id="23"/>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 for the three and six months ended June 30, 2024 differed from the U.S. federal statutory income tax rate of 21 percent due to taxes on foreign operations. During the second quarter of 2023, the Company’s effective income tax rate differed from the U.S. federal statutory income tax rate of 21 percent due to taxes on foreign operations and a decrease in the amount of valuation allowance against its U.S. deferred tax assets. The Company’s effective income tax rate for the six months ended June 30, 2023 differed from the U.S. federal statutory income tax rate of 21 percent due to taxes on foreign operations, a deferred tax expense related to the remeasurement of taxes in the U.K. as a result of the enactment of Finance Act 2023, and a decrease in the amount of valuation allowance against its U.S. deferred tax assets.</w:t>
      </w:r>
    </w:p>
    <w:p>
      <w:pPr>
        <w:spacing w:after="0" w:line="160"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 xml:space="preserve">On April 1, 2024, APA completed its acquisition of Callon in an all-stock transaction. The Company’s deferred tax asset increased by approximately $575 million as part of the assets assumed through the Callon acquisition. Refer to </w:t>
      </w:r>
      <w:r>
        <w:rPr>
          <w:rFonts w:ascii="Times New Roman" w:cs="Times New Roman" w:eastAsia="Times New Roman" w:hAnsi="Times New Roman"/>
          <w:sz w:val="18"/>
          <w:szCs w:val="18"/>
          <w:u w:val="single" w:color="auto"/>
          <w:color w:val="0000FF"/>
        </w:rPr>
        <w:t>Note 2—Acquisitions and Divestitures</w:t>
      </w:r>
      <w:r>
        <w:rPr>
          <w:rFonts w:ascii="Times New Roman" w:cs="Times New Roman" w:eastAsia="Times New Roman" w:hAnsi="Times New Roman"/>
          <w:sz w:val="18"/>
          <w:szCs w:val="18"/>
          <w:color w:val="auto"/>
        </w:rPr>
        <w:t xml:space="preserve"> for further detail.</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issued Pillar Two Model Rules introducing a new global minimum tax of 15 percent on a country-by-country basis, with certain aspects effective in certain jurisdictions on January 1, 2024. Although the Company continues to monitor enacted legislation to implement these rules in countries where the Company could be impacted, APA does not expect that the Pillar Two framework will have a material impact on its consolidated financial statements.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and its subsidiaries are subject to U.S. federal income tax as well as income or capital taxes in various states and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 reserves are related to tax years that may be subject to examination by the relevant taxing authority.</w:t>
      </w:r>
    </w:p>
    <w:p>
      <w:pPr>
        <w:spacing w:after="0" w:line="203" w:lineRule="exact"/>
        <w:rPr>
          <w:sz w:val="20"/>
          <w:szCs w:val="20"/>
          <w:color w:val="auto"/>
        </w:rPr>
      </w:pPr>
    </w:p>
    <w:p>
      <w:pPr>
        <w:ind w:right="7380" w:firstLine="8"/>
        <w:spacing w:after="0" w:line="464" w:lineRule="auto"/>
        <w:tabs>
          <w:tab w:leader="none" w:pos="395"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COMMITMENTS AND CONTINGENCIES </w:t>
      </w:r>
      <w:r>
        <w:rPr>
          <w:rFonts w:ascii="Times New Roman" w:cs="Times New Roman" w:eastAsia="Times New Roman" w:hAnsi="Times New Roman"/>
          <w:sz w:val="18"/>
          <w:szCs w:val="18"/>
          <w:b w:val="1"/>
          <w:bCs w:val="1"/>
          <w:u w:val="single" w:color="auto"/>
          <w:color w:val="auto"/>
        </w:rPr>
        <w:t>Legal Matters</w:t>
      </w: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is party to various legal actions arising in the ordinary course of business, including litigation and governmental and regulatory controls, which also may include controls related to the potential impacts of climate change. As of June 30, 2024, the Company has an accrued liability of approximately $76 million for all legal contingencies that are deemed to be probable of occurring and can be reasonably estimated. The Company’s estimates are based on information known about the matters and its experience in contesting, litigating, and settling similar matters. Although actual amounts could differ from management’s estimate, none of the actions are believed by management to involve future amounts that would be material to the Company’s financial position, results of operations, or liquidity after consideration of recorded accruals. With respect to material matters for which the Company believes an unfavorable outcome is reasonably possible, the Company has disclosed the nature of the matter and a range of potential exposure, unless an estimate cannot be made at this time. It is management’s opinion that the loss for any other litigation matters and claims that are reasonably possible to occur will not have a material adverse effect on the Company’s financial position, results of operations, or liquidity.</w:t>
      </w:r>
    </w:p>
    <w:p>
      <w:pPr>
        <w:spacing w:after="0" w:line="148"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For additional information on Legal Matters described below, refer to Note 11—Commitments and Contingencies to the consolidated financial statements contained in the Company’s Annual Report on Form 10-K for the fiscal year ended December 31, 2023.</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Argentine Environmental Claims</w:t>
      </w:r>
    </w:p>
    <w:p>
      <w:pPr>
        <w:spacing w:after="0" w:line="189"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On March 12, 2014, the Company and its subsidiaries completed the sale of all of the Company’s subsidiaries’ operations and properties in Argentina to YPF Sociedad Anonima (YPF). As part of that sale, YPF assumed responsibility for all of the past, present, and future litigation in Argentina involving Company subsidiaries, except that Company subsidiaries have agreed to indemnify YPF for certain environmental, tax, and royalty obligations capped at an aggregate of $100 million. The indemnity is subject to specific agreed conditions precedent, thresholds, contingencies, limitations, claim deadlines, loss sharing, and other terms and conditions. On April 11, 2014, YPF provided its first notice of claims pursuant to the indemnity. Company subsidiaries have not paid any amounts under the indemnity but will continue to review and consider claims presented by YPF. Further, Company subsidiaries retain the right to enforce certain Argentina-related indemnification obligations against Pioneer Natural Resources Company (Pioneer) in an amount up to $45 million pursuant to the terms and conditions of stock purchase agreements entered in 2006 between Company subsidiaries and subsidiaries of Pioneer.</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4" w:name="page25"/>
    <w:bookmarkEnd w:id="24"/>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Louisiana Restoration</w:t>
      </w:r>
    </w:p>
    <w:p>
      <w:pPr>
        <w:spacing w:after="0" w:line="20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As more fully described in the Company’s Annual Report on Form 10-K for the fiscal year ended December 31, 2023, Louisiana surface owners often file lawsuits or assert claims against oil and gas companies, including the Company, claiming that operators and working interest owners in the chain of title are liable for environmental damages on the leased premises, including damages measured by the cost of restoration of the leased premises to its original condition, regardless of the value of the underlying property. From time to time, restoration lawsuits and claims are resolved by the Company for amounts that are not material to the Company, while new lawsuits and claims are asserted against the Company. With respect to each of the pending lawsuits and claims, the amount claimed is not currently determinable or is not material. Further, the overall exposure related to these lawsuits and claims is not currently determinable. While adverse judgments against the Company are possible, the Company intends to actively defend these lawsuits and claims.</w:t>
      </w:r>
    </w:p>
    <w:p>
      <w:pPr>
        <w:spacing w:after="0" w:line="148" w:lineRule="exact"/>
        <w:rPr>
          <w:sz w:val="20"/>
          <w:szCs w:val="20"/>
          <w:color w:val="auto"/>
        </w:rPr>
      </w:pPr>
    </w:p>
    <w:p>
      <w:pPr>
        <w:jc w:val="both"/>
        <w:ind w:firstLine="445"/>
        <w:spacing w:after="0" w:line="252" w:lineRule="auto"/>
        <w:rPr>
          <w:sz w:val="20"/>
          <w:szCs w:val="20"/>
          <w:color w:val="auto"/>
        </w:rPr>
      </w:pPr>
      <w:r>
        <w:rPr>
          <w:rFonts w:ascii="Times New Roman" w:cs="Times New Roman" w:eastAsia="Times New Roman" w:hAnsi="Times New Roman"/>
          <w:sz w:val="18"/>
          <w:szCs w:val="18"/>
          <w:color w:val="auto"/>
        </w:rPr>
        <w:t>Starting in November of 2013 and continuing into 2023, several parishes in Louisiana have pending lawsuits against many oil and gas producers, including the Company. In these cases, the Parishes, as plaintiffs, allege that defendants’ oil and gas exploration, production, and transportation operations in specified fields were conducted in violation of the State and Local Coastal Resources Management Act of 1978, as amended, and applicable regulations, rules, orders, and ordinances promulgated or adopted thereunder by the Parish or the State of Louisiana. Plaintiffs allege that defendants caused substantial damage to land and water bodies located in the coastal zone of Louisiana. Plaintiffs seek, among other things, unspecified damages for alleged violations of applicable law within the coastal zone, the payment of costs necessary to clear, re-vegetate, detoxify, and otherwise restore the subject coastal zone as near as practicable to its original condition, and actual restoration of the coastal zone to its original condition. Without acknowledging or admitting any liability and solely to avoid the expense and uncertainty of future litigation, the Company agreed to settle with the State of Louisiana and Louisiana coastal Parishes to resolve any potential liability on the part of the Company for claims that were or could have been asserted by the coastal Parishes and/or the State of Louisiana in the pending litigation. The settlement is subject to court approval, which the parties hope to receive at some point in 2024. The consideration to be provided by the Company in the settlement will not have a material impact on the Company’s financial position. Following settlement of these various lawsuits, the Company will be a defendant in only two remaining coastal zone lawsuits, one filed by the City of New Orleans against the Company and a number of oil and gas operators and the other filed against Callon Offshore Production, Inc., among many other oil and gas operators, and pending in St. Bernard Parish, Louisiana. The Company will now oversee the latter lawsuit as a result of the Callon acquisition.</w:t>
      </w:r>
    </w:p>
    <w:p>
      <w:pPr>
        <w:spacing w:after="0" w:line="1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Apollo Exploration Lawsuit</w:t>
      </w:r>
    </w:p>
    <w:p>
      <w:pPr>
        <w:spacing w:after="0" w:line="200"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In a case captioned </w:t>
      </w:r>
      <w:r>
        <w:rPr>
          <w:rFonts w:ascii="Times New Roman" w:cs="Times New Roman" w:eastAsia="Times New Roman" w:hAnsi="Times New Roman"/>
          <w:sz w:val="18"/>
          <w:szCs w:val="18"/>
          <w:i w:val="1"/>
          <w:iCs w:val="1"/>
          <w:color w:val="auto"/>
        </w:rPr>
        <w:t>Apollo Exploration, LLC, Cogent Exploration, Ltd. Co. &amp; SellmoCo, LLC v. Apache Corporation</w:t>
      </w:r>
      <w:r>
        <w:rPr>
          <w:rFonts w:ascii="Times New Roman" w:cs="Times New Roman" w:eastAsia="Times New Roman" w:hAnsi="Times New Roman"/>
          <w:sz w:val="18"/>
          <w:szCs w:val="18"/>
          <w:color w:val="auto"/>
        </w:rPr>
        <w:t>, Cause No. CV50538 in the 385</w:t>
      </w:r>
      <w:r>
        <w:rPr>
          <w:rFonts w:ascii="Times New Roman" w:cs="Times New Roman" w:eastAsia="Times New Roman" w:hAnsi="Times New Roman"/>
          <w:sz w:val="16"/>
          <w:szCs w:val="16"/>
          <w:color w:val="auto"/>
        </w:rPr>
        <w:t>th</w:t>
      </w:r>
      <w:r>
        <w:rPr>
          <w:rFonts w:ascii="Times New Roman" w:cs="Times New Roman" w:eastAsia="Times New Roman" w:hAnsi="Times New Roman"/>
          <w:sz w:val="18"/>
          <w:szCs w:val="18"/>
          <w:color w:val="auto"/>
        </w:rPr>
        <w:t xml:space="preserve"> Judicial District Court, Midland County, Texas, plaintiffs alleged damages in excess of $200 million (having previously claimed in excess of $1.1 billion) relating to purchase and sale agreements, mineral leases, and area of mutual interest agreements concerning properties located in Hartley, Moore, Potter, and Oldham Counties, Texas. The trial court entered final judgment in favor of the Company, ruling that the plaintiffs take nothing by their claims and awarding the Company its attorneys’ fees and costs incurred in defending the lawsuit. The court of appeals affirmed in part and reversed in part the trial court’s judgment thereby reinstating some of plaintiffs’ claims. The Texas Supreme Court granted the Company’s petition for review and heard oral argument in October 2022. On April 28, 2023, the Texas Supreme Court reversed the court of appeals’ decision and remanded the case back to the court of appeals for further proceedings. After plaintiffs’ request for rehearing, on July 21, 2023, the Texas Supreme Court reaffirmed its reversal of the court of appeals’ decision and remand of the case back to the court of appeals for further proceedings.</w:t>
      </w:r>
    </w:p>
    <w:p>
      <w:pPr>
        <w:spacing w:after="0" w:line="14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Australian Operations Divestiture Dispute</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Pursuant to a Sale and Purchase Agreement dated April 9, 2015 (Quadrant SPA), the Company and its subsidiaries divested Australian operations to Quadrant Energy Pty Ltd (Quadrant). Closing occurred on June 5, 2015. In April 2017, the Company filed suit against Quadrant for breach of the Quadrant SPA. In its suit, the Company seeks approximately AUD $80 million. In December 2017, Quadrant filed a defense of equitable set-off to the Company’s claim and a counterclaim seeking approximately AUD $200 million in the aggregate. The Company will vigorously prosecute its claim while vigorously defending against Quadrant’s counter claims.</w:t>
      </w:r>
    </w:p>
    <w:p>
      <w:pPr>
        <w:spacing w:after="0" w:line="15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California and Delaware Litigation</w:t>
      </w:r>
    </w:p>
    <w:p>
      <w:pPr>
        <w:spacing w:after="0" w:line="18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July 17, 2017, in three separate actions, San Mateo and Marin Counties, and the City of Imperial Beach, California, all filed suit individually and on behalf of the people of the state of California against over 30 oil and gas companies alleging damages as a result of global warming. Plaintiffs seek unspecified damages and abatement under various tort theories. On December 20, 2017, in two separate actions, the City of Santa Cruz and Santa Cruz County filed similar lawsuits against many of the same defendants. On January 22, 2018, the City of Richmond filed a similar lawsuit.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5" w:name="page26"/>
    <w:bookmarkEnd w:id="25"/>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On September 10, 2020, the State of Delaware filed suit, individually and on behalf of the people of the State of Delaware, against over 25 oil and gas companies alleging damages as a result of global warming. Plaintiffs seek unspecified damages and abatement under various tort theories.</w:t>
      </w:r>
    </w:p>
    <w:p>
      <w:pPr>
        <w:spacing w:after="0" w:line="1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intends to challenge personal jurisdiction in California and to vigorously defend the Delaware lawsuit.</w:t>
      </w:r>
    </w:p>
    <w:p>
      <w:pPr>
        <w:spacing w:after="0" w:line="18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Kulp Minerals Lawsuit</w:t>
      </w:r>
    </w:p>
    <w:p>
      <w:pPr>
        <w:spacing w:after="0" w:line="18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 xml:space="preserve">On or about April 7, 2023, Apache was sued in a purported class action in New Mexico styled </w:t>
      </w:r>
      <w:r>
        <w:rPr>
          <w:rFonts w:ascii="Times New Roman" w:cs="Times New Roman" w:eastAsia="Times New Roman" w:hAnsi="Times New Roman"/>
          <w:sz w:val="18"/>
          <w:szCs w:val="18"/>
          <w:i w:val="1"/>
          <w:iCs w:val="1"/>
          <w:color w:val="auto"/>
        </w:rPr>
        <w:t>Kulp Minerals LLC v. Apache Corporation</w:t>
      </w:r>
      <w:r>
        <w:rPr>
          <w:rFonts w:ascii="Times New Roman" w:cs="Times New Roman" w:eastAsia="Times New Roman" w:hAnsi="Times New Roman"/>
          <w:sz w:val="18"/>
          <w:szCs w:val="18"/>
          <w:color w:val="auto"/>
        </w:rPr>
        <w:t xml:space="preserve">, Case No. D-506-CV-2023-00352 in the Fifth Judicial District. The </w:t>
      </w:r>
      <w:r>
        <w:rPr>
          <w:rFonts w:ascii="Times New Roman" w:cs="Times New Roman" w:eastAsia="Times New Roman" w:hAnsi="Times New Roman"/>
          <w:sz w:val="18"/>
          <w:szCs w:val="18"/>
          <w:i w:val="1"/>
          <w:iCs w:val="1"/>
          <w:color w:val="auto"/>
        </w:rPr>
        <w:t>Kulp Minerals</w:t>
      </w:r>
      <w:r>
        <w:rPr>
          <w:rFonts w:ascii="Times New Roman" w:cs="Times New Roman" w:eastAsia="Times New Roman" w:hAnsi="Times New Roman"/>
          <w:sz w:val="18"/>
          <w:szCs w:val="18"/>
          <w:color w:val="auto"/>
        </w:rPr>
        <w:t xml:space="preserve"> case has not been certified and seeks to represent a group of owners allegedly owed statutory interest under New Mexico law as a result of purported late oil and gas payments. The amount of this claim is not yet reasonably determinable. The Company intends to vigorously defend against the claims asserted in this lawsuit.</w:t>
      </w:r>
    </w:p>
    <w:p>
      <w:pPr>
        <w:spacing w:after="0" w:line="15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Shareholder and Derivative Lawsuits</w:t>
      </w:r>
    </w:p>
    <w:p>
      <w:pPr>
        <w:spacing w:after="0" w:line="187"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 xml:space="preserve">On February 23, 2021, a case captioned </w:t>
      </w:r>
      <w:r>
        <w:rPr>
          <w:rFonts w:ascii="Times New Roman" w:cs="Times New Roman" w:eastAsia="Times New Roman" w:hAnsi="Times New Roman"/>
          <w:sz w:val="18"/>
          <w:szCs w:val="18"/>
          <w:i w:val="1"/>
          <w:iCs w:val="1"/>
          <w:color w:val="auto"/>
        </w:rPr>
        <w:t>Plymouth County Retirement System v. Apache Corporation, et al.</w:t>
      </w:r>
      <w:r>
        <w:rPr>
          <w:rFonts w:ascii="Times New Roman" w:cs="Times New Roman" w:eastAsia="Times New Roman" w:hAnsi="Times New Roman"/>
          <w:sz w:val="18"/>
          <w:szCs w:val="18"/>
          <w:color w:val="auto"/>
        </w:rPr>
        <w:t xml:space="preserve"> was filed in the United States District Court for the Southern District of Texas (Houston Division) against the Company and certain current and former officers. The complaint, which is a shareholder lawsuit styled as a class action, alleges, among other things, that (1) the Company intentionally used unrealistic assumptions regarding the amount and composition of available oil and gas in Alpine High; (2) the Company did not have the proper infrastructure in place to safely and/or economically drill and/or transport those resources even if they existed in the amounts purported; (3) certain statements and omissions artificially inflated the value of the Company’s operations in the Permian Basin; and (4) as a result, the Company’s public statements were materially false and misleading. With no admission, concession, or finding of any fault, liability, or wrongdoing, but only to avoid the expense and uncertainty of litigation, the parties have agreed to a settlement resolving all claims made against the defendants by the class. The settlement agreement will be subject to court approval, and a hearing is expected to be held in the coming months. The settlement will not have a material effect on the Company’s financial position, results of operations, or liquidity and is subject to insurance coverage that companies have for these types of claims.</w:t>
      </w:r>
    </w:p>
    <w:p>
      <w:pPr>
        <w:spacing w:after="0" w:line="14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 xml:space="preserve">On February 21, 2023, a case captioned </w:t>
      </w:r>
      <w:r>
        <w:rPr>
          <w:rFonts w:ascii="Times New Roman" w:cs="Times New Roman" w:eastAsia="Times New Roman" w:hAnsi="Times New Roman"/>
          <w:sz w:val="18"/>
          <w:szCs w:val="18"/>
          <w:i w:val="1"/>
          <w:iCs w:val="1"/>
          <w:color w:val="auto"/>
        </w:rPr>
        <w:t>Steve Silverman, Derivatively and on behalf of Nominal Defendant APA Corp. v. John J. Christmann IV, et al.</w:t>
      </w:r>
      <w:r>
        <w:rPr>
          <w:rFonts w:ascii="Times New Roman" w:cs="Times New Roman" w:eastAsia="Times New Roman" w:hAnsi="Times New Roman"/>
          <w:sz w:val="18"/>
          <w:szCs w:val="18"/>
          <w:color w:val="auto"/>
        </w:rPr>
        <w:t xml:space="preserve"> was filed in federal district court for the Southern District of Texas. Then, on July 21, 2023, a case captioned </w:t>
      </w:r>
      <w:r>
        <w:rPr>
          <w:rFonts w:ascii="Times New Roman" w:cs="Times New Roman" w:eastAsia="Times New Roman" w:hAnsi="Times New Roman"/>
          <w:sz w:val="18"/>
          <w:szCs w:val="18"/>
          <w:i w:val="1"/>
          <w:iCs w:val="1"/>
          <w:color w:val="auto"/>
        </w:rPr>
        <w:t>Yang-Li-Yu, Derivatively and on behalf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Nominal Defendant APA Corp. v. John J. Christmann IV, et al. </w:t>
      </w:r>
      <w:r>
        <w:rPr>
          <w:rFonts w:ascii="Times New Roman" w:cs="Times New Roman" w:eastAsia="Times New Roman" w:hAnsi="Times New Roman"/>
          <w:sz w:val="18"/>
          <w:szCs w:val="18"/>
          <w:color w:val="auto"/>
        </w:rPr>
        <w:t>was filed in federal district court for the Southern District of Texas. These cases have now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been consolidated as </w:t>
      </w:r>
      <w:r>
        <w:rPr>
          <w:rFonts w:ascii="Times New Roman" w:cs="Times New Roman" w:eastAsia="Times New Roman" w:hAnsi="Times New Roman"/>
          <w:sz w:val="18"/>
          <w:szCs w:val="18"/>
          <w:i w:val="1"/>
          <w:iCs w:val="1"/>
          <w:color w:val="auto"/>
        </w:rPr>
        <w:t>In Re APA Corporation Derivative Litigation</w:t>
      </w:r>
      <w:r>
        <w:rPr>
          <w:rFonts w:ascii="Times New Roman" w:cs="Times New Roman" w:eastAsia="Times New Roman" w:hAnsi="Times New Roman"/>
          <w:sz w:val="18"/>
          <w:szCs w:val="18"/>
          <w:color w:val="auto"/>
        </w:rPr>
        <w:t xml:space="preserve">, Case No. 4:23-cv-00636 in the Southern District of Texas and purport to be derivative actions brought against senior management and Company directors over many of the same allegations included in the </w:t>
      </w:r>
      <w:r>
        <w:rPr>
          <w:rFonts w:ascii="Times New Roman" w:cs="Times New Roman" w:eastAsia="Times New Roman" w:hAnsi="Times New Roman"/>
          <w:sz w:val="18"/>
          <w:szCs w:val="18"/>
          <w:i w:val="1"/>
          <w:iCs w:val="1"/>
          <w:color w:val="auto"/>
        </w:rPr>
        <w:t>Plymouth County Retirement System</w:t>
      </w:r>
      <w:r>
        <w:rPr>
          <w:rFonts w:ascii="Times New Roman" w:cs="Times New Roman" w:eastAsia="Times New Roman" w:hAnsi="Times New Roman"/>
          <w:sz w:val="18"/>
          <w:szCs w:val="18"/>
          <w:color w:val="auto"/>
        </w:rPr>
        <w:t xml:space="preserve"> matter and asserts claims of (1) breach of fiduciary duty; (2) waste of corporate assets; and (3) unjust enrichment. The defendants filed a motion to dismiss the consolidated lawsuits, which is fully briefed and will remain pending following settlement of the </w:t>
      </w:r>
      <w:r>
        <w:rPr>
          <w:rFonts w:ascii="Times New Roman" w:cs="Times New Roman" w:eastAsia="Times New Roman" w:hAnsi="Times New Roman"/>
          <w:sz w:val="18"/>
          <w:szCs w:val="18"/>
          <w:i w:val="1"/>
          <w:iCs w:val="1"/>
          <w:color w:val="auto"/>
        </w:rPr>
        <w:t>Plymouth County Retirement System</w:t>
      </w:r>
      <w:r>
        <w:rPr>
          <w:rFonts w:ascii="Times New Roman" w:cs="Times New Roman" w:eastAsia="Times New Roman" w:hAnsi="Times New Roman"/>
          <w:sz w:val="18"/>
          <w:szCs w:val="18"/>
          <w:color w:val="auto"/>
        </w:rPr>
        <w:t xml:space="preserve"> case noted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Environmental Matters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 of June 30, 2024, the Company had an undiscounted reserve for environmental remediation of approximately $1 million.</w:t>
      </w:r>
    </w:p>
    <w:p>
      <w:pPr>
        <w:spacing w:after="0" w:line="185" w:lineRule="exact"/>
        <w:rPr>
          <w:sz w:val="20"/>
          <w:szCs w:val="20"/>
          <w:color w:val="auto"/>
        </w:rPr>
      </w:pPr>
    </w:p>
    <w:p>
      <w:pPr>
        <w:jc w:val="both"/>
        <w:ind w:firstLine="445"/>
        <w:spacing w:after="0" w:line="272" w:lineRule="auto"/>
        <w:rPr>
          <w:sz w:val="20"/>
          <w:szCs w:val="20"/>
          <w:color w:val="auto"/>
        </w:rPr>
      </w:pPr>
      <w:r>
        <w:rPr>
          <w:rFonts w:ascii="Times New Roman" w:cs="Times New Roman" w:eastAsia="Times New Roman" w:hAnsi="Times New Roman"/>
          <w:sz w:val="17"/>
          <w:szCs w:val="17"/>
          <w:color w:val="auto"/>
        </w:rPr>
        <w:t>On September 11, 2020, the Company received a Notice of Violation and Finding of Violation, and accompanying Clean Air Act Information Request, from the U.S. Environmental Protection Agency (EPA) following site inspections in April 2019 at several of the Company’s oil and natural gas production facilities in Lea and Eddy Counties, New Mexico. Then on December 29, 2020, the Company received a Notice of Violation and Opportunity to Confer, and accompanying Clean Air Act Information Request, from the EPA following helicopter flyovers in September 2019 of several of the Company’s oil and natural gas production facilities in Reeves County, Texas. The notices and information requests involved alleged emissions control and reporting violations. The Company cooperated with the EPA, responded to the information requests, and negotiated and entered into a consent decree to resolve the alleged violations in both New Mexico and Texas, which has been approved and entered by the Court. The consideration provided by the Company in connection with the consent decree, which includes a $4 million payment, will not have a material impact on the Company’s financial position.</w:t>
      </w:r>
    </w:p>
    <w:p>
      <w:pPr>
        <w:spacing w:after="0" w:line="14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is not aware of any environmental claims existing as of June 30, 2024, that have not been provided for or would otherwise have a material impact on its financial position, results of operations, or liquidity. There can be no assurance, however, that current regulatory requirements will not change or past non-compliance with environmental laws will not be discovered on the Company’s properties.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auto"/>
        </w:rPr>
        <w:t>Potential Decommissioning Obligations on Sold Properties</w:t>
      </w:r>
    </w:p>
    <w:p>
      <w:pPr>
        <w:spacing w:after="0" w:line="20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2013, Apache sold its Gulf of Mexico (GOM) Shelf operations and properties and its GOM operating subsidiary, GOM Shelf LLC (GOM Shelf) to Fieldwood Energy LLC (Fieldwood). Fieldwood assumed the obligation to decommission the properties held by GOM Shelf and the properties acquired from Apache and its other subsidiaries (collectively, the Legacy GOM Assets). On February 14, 2018, Fieldwood filed for (and subsequently emerged from) Chapter 11 bankruptcy protection. On August 3, 2020, Fieldwood filed for (and subsequently emerged from) Chapter 11 bankruptcy protection for a second time. Upon emergence from this second bankruptcy, the Legacy GOM Assets were separated into a standalone company, which was subsequently merged into GOM Shelf. Under GOM Shelf’s limited liability company agreement, the proceeds of production of the Legacy GOM Assets are to be used to fund the operation of GOM Shelf and the decommissioning of Legacy GOM Assets. Pursuant to the terms of the original transaction, as amended in the first bankruptcy, the securing of the asset retirement obligations for the Legacy GOM Assets as and when Apache is required to perform or pay for any such decommissioning was accomplished through the posting of letters of credit in favor of Apache (Letters of Credit), the provision of two bonds (Bonds) in favor of Apache, and the establishment of a trust account of which Apache was a beneficiary and which was funded by net profits interests (NPIs) depending on future oil prices. In addition, after such sources have been exhausted, Apache agreed upon resolution of GOM Shelf’s second bankruptcy to provide a standby loan to GOM Shelf of up to $400 million to perform decommissioning, with such standby loan secured by a first and prior lien on the Legacy GOM Assets.</w:t>
      </w:r>
    </w:p>
    <w:p>
      <w:pPr>
        <w:spacing w:after="0" w:line="14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GOM Assets. As a result, Apache and other current and former owners in these assets have received orders from BSEE and demands from third parties to decommission certain of the Legacy GOM Assets included in GOM Shelf’s notifications to BSEE. Apache expects to receive similar orders and demands on the other Legacy GOM Assets included in GOM Shelf’s notification letters. Apache has also received orders to decommission other Legacy GOM Assets that were not included in GOM Shelf’s notification letters. Further, Apache anticipates that GOM Shelf may send additional such notices to BSEE in the future and that it may receive additional orders from BSEE requiring it to decommission other Legacy GOM Assets.</w:t>
      </w:r>
    </w:p>
    <w:p>
      <w:pPr>
        <w:spacing w:after="0" w:line="148"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18"/>
          <w:szCs w:val="18"/>
          <w:color w:val="auto"/>
        </w:rPr>
        <w:t xml:space="preserve">On June 21, 2023, two sureties that issued Bonds directly to Apache and two sureties that issued bonds to the issuing bank on the Letters of Credit filed suit against Apache in a case styled </w:t>
      </w:r>
      <w:r>
        <w:rPr>
          <w:rFonts w:ascii="Times New Roman" w:cs="Times New Roman" w:eastAsia="Times New Roman" w:hAnsi="Times New Roman"/>
          <w:sz w:val="18"/>
          <w:szCs w:val="18"/>
          <w:i w:val="1"/>
          <w:iCs w:val="1"/>
          <w:color w:val="auto"/>
        </w:rPr>
        <w:t>Zurich American Insurance Company, HCC International Insurance Company PLC, Philadelphia Indemnity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 Company and Everest Reinsurance Company (Insurers) v. Apache Corporation</w:t>
      </w:r>
      <w:r>
        <w:rPr>
          <w:rFonts w:ascii="Times New Roman" w:cs="Times New Roman" w:eastAsia="Times New Roman" w:hAnsi="Times New Roman"/>
          <w:sz w:val="18"/>
          <w:szCs w:val="18"/>
          <w:color w:val="auto"/>
        </w:rPr>
        <w:t>, Cause No. 2023-38238 in the 281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Judicial District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Harris County Texas. The sureties sought to prevent Apache from drawing on the Bonds and Letters of Credit and further alleged that they are discharged from their reimbursement obligations related to decommissioning costs and are entitled to other relief. On July 20, 2023, the 281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Judicial District Court denied the Insurers’ request for a temporary injunction. On July 26, 2023, Apache removed the suit to the United States Bankruptcy Court for the Southern District of Texas (Houston Division) which subsequently held that the sureties’ state court lawsuit violated the terms of the Bankruptcy Confirmation Order and is void. Since the time the sureties filed their state court lawsuit, Apache has drawn down the entirety of the Letters of Credit. Apache has also sought to draw down on the Bonds; however, the sureties refuse to pay such Bond draws. Apache is vigorously pursuing its claims against the sureties.</w:t>
      </w:r>
    </w:p>
    <w:p>
      <w:pPr>
        <w:spacing w:after="0" w:line="1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has recorded a $187 million asset, which represents the remaining amount the Company expects to be reimbursed from security related to these decommissioning costs.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has recorded contingent liabilities in the amounts of $862 million and $824 million as of June 30, 2024 and December 31, 2023, respectively, representing the estimated costs of decommissioning it may be required to perform on the Legacy GOM Assets. The Company recognized $17 million and $83 million in the second quarter and the first six months of 2024, respectively, of “Loss on previously sold Gulf of Mexico properties.” Amounts recorded in the second quarter of 2024 reflect orders received during the period from BSEE to decommission a property operated and produced by Fieldwood Energy Offshore and Dynamic Offshore Resources NS, LLC. Amounts recorded in the first six months of 2024 also include $33 million related to orders received during the first quarter of 2024 from BSEE to decommission properties previously sold to Cox Operating LLC. The Company recognized no losses for decommissioning previously sold properties during the second quarter and the first six months of 2023. There have been no other changes in estimates from December 31, 2023 that would have a material impact on the Company’s financial position, results of operations, or liquidity.</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7" w:name="page28"/>
    <w:bookmarkEnd w:id="27"/>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CAPITAL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Net Income per Common Share</w:t>
      </w:r>
    </w:p>
    <w:p>
      <w:pPr>
        <w:spacing w:after="0" w:line="202" w:lineRule="exact"/>
        <w:rPr>
          <w:sz w:val="20"/>
          <w:szCs w:val="20"/>
          <w:color w:val="auto"/>
        </w:rPr>
      </w:pPr>
    </w:p>
    <w:p>
      <w:pPr>
        <w:jc w:val="both"/>
        <w:ind w:firstLine="445"/>
        <w:spacing w:after="0" w:line="275" w:lineRule="auto"/>
        <w:rPr>
          <w:sz w:val="20"/>
          <w:szCs w:val="20"/>
          <w:color w:val="auto"/>
        </w:rPr>
      </w:pPr>
      <w:r>
        <w:rPr>
          <w:rFonts w:ascii="Times New Roman" w:cs="Times New Roman" w:eastAsia="Times New Roman" w:hAnsi="Times New Roman"/>
          <w:sz w:val="18"/>
          <w:szCs w:val="18"/>
          <w:color w:val="auto"/>
        </w:rPr>
        <w:t>The following table presents a reconciliation of the components of basic and diluted net income per common share in the consolidated financial statements: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8"/>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For the Quarter Ended June 30,</w:t>
            </w: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1"/>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Per Share</w:t>
            </w:r>
          </w:p>
        </w:tc>
      </w:tr>
      <w:tr>
        <w:trPr>
          <w:trHeight w:val="215"/>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80" w:type="dxa"/>
            <w:vAlign w:val="bottom"/>
            <w:gridSpan w:val="9"/>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Dilutive Securities:</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3"/>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Stock compensation awards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rPr>
              <w:t>(0.01)</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0"/>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1.23</w:t>
            </w:r>
          </w:p>
        </w:tc>
      </w:tr>
    </w:tbl>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9"/>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For the Six Months Ended June 30,</w:t>
            </w: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1"/>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Per Share</w:t>
            </w:r>
          </w:p>
        </w:tc>
      </w:tr>
      <w:tr>
        <w:trPr>
          <w:trHeight w:val="215"/>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520" w:type="dxa"/>
            <w:vAlign w:val="bottom"/>
            <w:gridSpan w:val="9"/>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 millions, except per share amounts)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
        </w:trPr>
        <w:tc>
          <w:tcPr>
            <w:tcW w:w="5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3"/>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10"/>
        </w:trPr>
        <w:tc>
          <w:tcPr>
            <w:tcW w:w="50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attributable to common stock</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30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bl>
    <w:p>
      <w:pPr>
        <w:spacing w:after="0" w:line="257"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diluted earnings per share calculation excludes options and restricted stock units that were anti-dilutive of 2.3 million and 2.1 million during the second quarters of 2024 and 2023, respectively, and 2.1 million and 2.2 million during the first six months of 2024 and 2023,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Stock Repurchase Program</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fourth quarter of 2021, the Company’s Board of Directors authorized the purchase of 40 million shares of the Company’s common stock. During the third quarter of 2022, the Company's Board of Directors authorized the purchase of an additional 40 million shares of the Company's common stock.</w:t>
      </w:r>
    </w:p>
    <w:p>
      <w:pPr>
        <w:spacing w:after="0" w:line="14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the second quarter of 2024, the Company repurchased approximately 1.5 million shares at an average price of $28.72 per share. For the six months ended June 30, 2024, the Company repurchased 4.5 million shares at an average price of $31.77 per share, and as of June 30, 2024, the Company had remaining authorization to repurchase up to 39.4 million shares. In the second quarter of 2023, the Company repurchased 1.3 million shares at an average price of $33.72 per share. For the six months ended June 30, 2023, the Company repurchased 5 million shares at an average price of $37.53 per share.</w:t>
      </w:r>
    </w:p>
    <w:p>
      <w:pPr>
        <w:spacing w:after="0" w:line="139"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The Company repurchased 0.1 million shares at an average price of $29.33 per share in July 2024, and as of July 31, 2024, the Company had remaining authorization to repurchase up to 39.3 million shares.</w:t>
      </w:r>
    </w:p>
    <w:p>
      <w:pPr>
        <w:spacing w:after="0" w:line="121"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is not obligated to acquire any additional shares. Shares may be purchased either in the open market or through privately negotiated transactions.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Dividend</w:t>
      </w:r>
    </w:p>
    <w:p>
      <w:pPr>
        <w:spacing w:after="0" w:line="18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For the quarters ended June 30, 2024 and 2023, the Company paid $92 million and $77 million, respectively, in dividends on its common stock. For the six months ended June 30, 2024 and 2023, the Company paid $168 million and $155 million, respectively, in dividends on its common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Common Stock Issuance</w:t>
      </w:r>
    </w:p>
    <w:p>
      <w:pPr>
        <w:spacing w:after="0" w:line="20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On April 1, 2024, in connection with the Callon acquisition, the Company issued approximately 70 million shares of common stock in exchange for Callon common stock. The total value of stock consideration was approximately $2.4 billion based on APA’s stock price on the closing date of the acquisition.</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28" w:name="page29"/>
    <w:bookmarkEnd w:id="28"/>
    <w:p>
      <w:pPr>
        <w:ind w:left="340"/>
        <w:spacing w:after="0"/>
        <w:tabs>
          <w:tab w:leader="none" w:pos="72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BUSINESS SEGMENT INFORMATION</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As of June 30, 2024, the Company’s consolidated subsidiaries are engaged in exploration and production (Upstream) activities across three operating segments: the U.S., Egypt, and North Sea. The Company’s Upstream business explores for, develops, and produces crude oil, natural gas, and natural gas liquids. The Company also has active exploration and planned appraisal operations ongoing in Suriname, as well as interests in Uruguay and other international locations that may, over time, result in reportable discoveries and development opportunities. Financial information for each segment is presented below:</w:t>
      </w:r>
    </w:p>
    <w:tbl>
      <w:tblPr>
        <w:tblLayout w:type="fixed"/>
        <w:tblInd w:w="0" w:type="dxa"/>
        <w:tblCellMar>
          <w:top w:w="0" w:type="dxa"/>
          <w:left w:w="0" w:type="dxa"/>
          <w:bottom w:w="0" w:type="dxa"/>
          <w:right w:w="0" w:type="dxa"/>
        </w:tblCellMar>
      </w:tblPr>
      <w:tr>
        <w:trPr>
          <w:trHeight w:val="150"/>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368"/>
              <w:spacing w:after="0" w:line="150" w:lineRule="exact"/>
              <w:rPr>
                <w:sz w:val="20"/>
                <w:szCs w:val="20"/>
                <w:color w:val="auto"/>
              </w:rPr>
            </w:pPr>
            <w:r>
              <w:rPr>
                <w:rFonts w:ascii="Times New Roman" w:cs="Times New Roman" w:eastAsia="Times New Roman" w:hAnsi="Times New Roman"/>
                <w:sz w:val="14"/>
                <w:szCs w:val="14"/>
                <w:b w:val="1"/>
                <w:bCs w:val="1"/>
                <w:color w:val="auto"/>
              </w:rPr>
              <w:t>Intersegment</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Egypt</w:t>
            </w:r>
            <w:r>
              <w:rPr>
                <w:rFonts w:ascii="Times New Roman" w:cs="Times New Roman" w:eastAsia="Times New Roman" w:hAnsi="Times New Roman"/>
                <w:sz w:val="9"/>
                <w:szCs w:val="9"/>
                <w:b w:val="1"/>
                <w:bCs w:val="1"/>
                <w:color w:val="auto"/>
              </w:rPr>
              <w:t>(1)</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North Sea</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388"/>
              <w:spacing w:after="0" w:line="149"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900" w:type="dxa"/>
            <w:vAlign w:val="bottom"/>
            <w:vMerge w:val="restart"/>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9"/>
                <w:szCs w:val="9"/>
                <w:b w:val="1"/>
                <w:bCs w:val="1"/>
                <w:color w:val="auto"/>
              </w:rPr>
              <w:t>(4)</w:t>
            </w:r>
          </w:p>
        </w:tc>
        <w:tc>
          <w:tcPr>
            <w:tcW w:w="0" w:type="dxa"/>
            <w:vAlign w:val="bottom"/>
          </w:tcPr>
          <w:p>
            <w:pPr>
              <w:spacing w:after="0"/>
              <w:rPr>
                <w:sz w:val="1"/>
                <w:szCs w:val="1"/>
                <w:color w:val="auto"/>
              </w:rPr>
            </w:pPr>
          </w:p>
        </w:tc>
      </w:tr>
      <w:tr>
        <w:trPr>
          <w:trHeight w:val="195"/>
        </w:trPr>
        <w:tc>
          <w:tcPr>
            <w:tcW w:w="5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 Ended June 30, 2024</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Oil revenues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1,021</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3"/>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1,907</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revenues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96"/>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liquids revenues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natural gas, and natural gas liquids production revenues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2,201</w:t>
            </w: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oil and gas sales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0" w:type="dxa"/>
            <w:vAlign w:val="bottom"/>
          </w:tcPr>
          <w:p>
            <w:pPr>
              <w:spacing w:after="0"/>
              <w:rPr>
                <w:sz w:val="1"/>
                <w:szCs w:val="1"/>
                <w:color w:val="auto"/>
              </w:rPr>
            </w:pPr>
          </w:p>
        </w:tc>
      </w:tr>
      <w:tr>
        <w:trPr>
          <w:trHeight w:val="19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Gathering, processing, and transmission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Purchased oil and gas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other than income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Exploration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Borders>
              <w:top w:val="single" w:sz="8" w:color="DBDBDB"/>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Borders>
              <w:top w:val="single" w:sz="8" w:color="DBDBDB"/>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top w:val="single" w:sz="8" w:color="DBDBDB"/>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1,564</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r>
              <w:rPr>
                <w:rFonts w:ascii="Times New Roman" w:cs="Times New Roman" w:eastAsia="Times New Roman" w:hAnsi="Times New Roman"/>
                <w:sz w:val="9"/>
                <w:szCs w:val="9"/>
                <w:color w:val="auto"/>
              </w:rPr>
              <w:t>(2)</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instrument losses, net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previously sold Gulf of Mexico properties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divestitures, net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reorganization, and separation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Financing costs, net</w:t>
            </w:r>
          </w:p>
        </w:tc>
        <w:tc>
          <w:tcPr>
            <w:tcW w:w="2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Egypt</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North Sea</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2"/>
                <w:szCs w:val="12"/>
                <w:color w:val="auto"/>
              </w:rPr>
            </w:pPr>
          </w:p>
        </w:tc>
        <w:tc>
          <w:tcPr>
            <w:tcW w:w="9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(4)</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2024</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Oil revenues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1,609</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3,339</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revenues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w:t>
            </w:r>
          </w:p>
        </w:tc>
        <w:tc>
          <w:tcPr>
            <w:tcW w:w="0" w:type="dxa"/>
            <w:vAlign w:val="bottom"/>
          </w:tcPr>
          <w:p>
            <w:pPr>
              <w:spacing w:after="0"/>
              <w:rPr>
                <w:sz w:val="1"/>
                <w:szCs w:val="1"/>
                <w:color w:val="auto"/>
              </w:rPr>
            </w:pPr>
          </w:p>
        </w:tc>
      </w:tr>
      <w:tr>
        <w:trPr>
          <w:trHeight w:val="196"/>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liquids revenues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natural gas, and natural gas liquids production revenues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3,949</w:t>
            </w: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oil and gas sales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2,509</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w:t>
            </w:r>
          </w:p>
        </w:tc>
        <w:tc>
          <w:tcPr>
            <w:tcW w:w="0" w:type="dxa"/>
            <w:vAlign w:val="bottom"/>
          </w:tcPr>
          <w:p>
            <w:pPr>
              <w:spacing w:after="0"/>
              <w:rPr>
                <w:sz w:val="1"/>
                <w:szCs w:val="1"/>
                <w:color w:val="auto"/>
              </w:rPr>
            </w:pPr>
          </w:p>
        </w:tc>
      </w:tr>
      <w:tr>
        <w:trPr>
          <w:trHeight w:val="19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Gathering, processing, and transmission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Purchased oil and gas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other than income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Exploration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1,018</w:t>
            </w: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1,737</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609</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2,824</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Operating Income (Loss)</w:t>
            </w:r>
            <w:r>
              <w:rPr>
                <w:rFonts w:ascii="Times New Roman" w:cs="Times New Roman" w:eastAsia="Times New Roman" w:hAnsi="Times New Roman"/>
                <w:sz w:val="18"/>
                <w:szCs w:val="18"/>
                <w:color w:val="auto"/>
                <w:vertAlign w:val="superscript"/>
              </w:rPr>
              <w:t>(2)</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Derivative instrument losses, net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Loss on offshore decommissioning contingency</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divestitures, net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reorganization, and separation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Financing costs, net</w:t>
            </w:r>
          </w:p>
        </w:tc>
        <w:tc>
          <w:tcPr>
            <w:tcW w:w="2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5240" w:type="dxa"/>
            <w:vAlign w:val="bottom"/>
            <w:tcBorders>
              <w:bottom w:val="single" w:sz="8" w:color="CCEEFF"/>
            </w:tcBorders>
            <w:shd w:val="clear" w:color="auto" w:fill="CCEEFF"/>
          </w:tcPr>
          <w:p>
            <w:pPr>
              <w:ind w:left="20"/>
              <w:spacing w:after="0" w:line="202" w:lineRule="exact"/>
              <w:rPr>
                <w:sz w:val="20"/>
                <w:szCs w:val="20"/>
                <w:color w:val="auto"/>
              </w:rPr>
            </w:pPr>
            <w:r>
              <w:rPr>
                <w:rFonts w:ascii="Times New Roman" w:cs="Times New Roman" w:eastAsia="Times New Roman" w:hAnsi="Times New Roman"/>
                <w:sz w:val="14"/>
                <w:szCs w:val="14"/>
                <w:color w:val="auto"/>
              </w:rPr>
              <w:t>Total Assets</w:t>
            </w:r>
            <w:r>
              <w:rPr>
                <w:rFonts w:ascii="Times New Roman" w:cs="Times New Roman" w:eastAsia="Times New Roman" w:hAnsi="Times New Roman"/>
                <w:sz w:val="18"/>
                <w:szCs w:val="18"/>
                <w:color w:val="auto"/>
                <w:vertAlign w:val="superscript"/>
              </w:rPr>
              <w:t>(3)</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14,075</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536</w:t>
            </w: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20,195</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3"/>
          </w:tcPr>
          <w:p>
            <w:pPr>
              <w:jc w:val="center"/>
              <w:ind w:right="348"/>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Egypt</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North Sea</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348"/>
              <w:spacing w:after="0" w:line="146"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9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(4)</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Quarter Ended June 30, 2023</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Oil revenues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1,365</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revenues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0" w:type="dxa"/>
            <w:vAlign w:val="bottom"/>
          </w:tcPr>
          <w:p>
            <w:pPr>
              <w:spacing w:after="0"/>
              <w:rPr>
                <w:sz w:val="1"/>
                <w:szCs w:val="1"/>
                <w:color w:val="auto"/>
              </w:rPr>
            </w:pPr>
          </w:p>
        </w:tc>
      </w:tr>
      <w:tr>
        <w:trPr>
          <w:trHeight w:val="196"/>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liquids revenues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natural gas, and natural gas liquids production revenues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1,652</w:t>
            </w: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oil and gas sales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708</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0" w:type="dxa"/>
            <w:vAlign w:val="bottom"/>
          </w:tcPr>
          <w:p>
            <w:pPr>
              <w:spacing w:after="0"/>
              <w:rPr>
                <w:sz w:val="1"/>
                <w:szCs w:val="1"/>
                <w:color w:val="auto"/>
              </w:rPr>
            </w:pPr>
          </w:p>
        </w:tc>
      </w:tr>
      <w:tr>
        <w:trPr>
          <w:trHeight w:val="19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361</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Gathering, processing, and transmission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Purchased oil and gas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other than income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Exploration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196"/>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Impairments</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Operating Income (Loss)</w:t>
            </w:r>
            <w:r>
              <w:rPr>
                <w:rFonts w:ascii="Times New Roman" w:cs="Times New Roman" w:eastAsia="Times New Roman" w:hAnsi="Times New Roman"/>
                <w:sz w:val="18"/>
                <w:szCs w:val="18"/>
                <w:color w:val="auto"/>
                <w:vertAlign w:val="superscript"/>
              </w:rPr>
              <w:t>(2)</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691</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instrument gains,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divestitures, net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reorganization, and separation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Financing costs, net</w:t>
            </w:r>
          </w:p>
        </w:tc>
        <w:tc>
          <w:tcPr>
            <w:tcW w:w="2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Intersegment</w:t>
            </w: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U.S.</w:t>
            </w:r>
          </w:p>
        </w:tc>
        <w:tc>
          <w:tcPr>
            <w:tcW w:w="8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Egypt</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North Sea</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Eliminations</w:t>
            </w:r>
          </w:p>
        </w:tc>
        <w:tc>
          <w:tcPr>
            <w:tcW w:w="220" w:type="dxa"/>
            <w:vAlign w:val="bottom"/>
          </w:tcPr>
          <w:p>
            <w:pPr>
              <w:spacing w:after="0"/>
              <w:rPr>
                <w:sz w:val="12"/>
                <w:szCs w:val="12"/>
                <w:color w:val="auto"/>
              </w:rPr>
            </w:pPr>
          </w:p>
        </w:tc>
        <w:tc>
          <w:tcPr>
            <w:tcW w:w="92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18"/>
                <w:szCs w:val="18"/>
                <w:b w:val="1"/>
                <w:bCs w:val="1"/>
                <w:color w:val="auto"/>
                <w:vertAlign w:val="superscript"/>
              </w:rPr>
              <w:t>(4)</w:t>
            </w:r>
          </w:p>
        </w:tc>
        <w:tc>
          <w:tcPr>
            <w:tcW w:w="0" w:type="dxa"/>
            <w:vAlign w:val="bottom"/>
          </w:tcPr>
          <w:p>
            <w:pPr>
              <w:spacing w:after="0"/>
              <w:rPr>
                <w:sz w:val="1"/>
                <w:szCs w:val="1"/>
                <w:color w:val="auto"/>
              </w:rPr>
            </w:pPr>
          </w:p>
        </w:tc>
      </w:tr>
      <w:tr>
        <w:trPr>
          <w:trHeight w:val="203"/>
        </w:trPr>
        <w:tc>
          <w:tcPr>
            <w:tcW w:w="5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Six Months Ended June 30, 2023</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Oil revenues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c>
          <w:tcPr>
            <w:tcW w:w="8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2,762</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Natural gas revenues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w:t>
            </w:r>
          </w:p>
        </w:tc>
        <w:tc>
          <w:tcPr>
            <w:tcW w:w="0" w:type="dxa"/>
            <w:vAlign w:val="bottom"/>
          </w:tcPr>
          <w:p>
            <w:pPr>
              <w:spacing w:after="0"/>
              <w:rPr>
                <w:sz w:val="1"/>
                <w:szCs w:val="1"/>
                <w:color w:val="auto"/>
              </w:rPr>
            </w:pPr>
          </w:p>
        </w:tc>
      </w:tr>
      <w:tr>
        <w:trPr>
          <w:trHeight w:val="196"/>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Natural gas liquids revenues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natural gas, and natural gas liquids production revenues</w:t>
            </w: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1,361</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3,421</w:t>
            </w:r>
          </w:p>
        </w:tc>
        <w:tc>
          <w:tcPr>
            <w:tcW w:w="0" w:type="dxa"/>
            <w:vAlign w:val="bottom"/>
          </w:tcPr>
          <w:p>
            <w:pPr>
              <w:spacing w:after="0"/>
              <w:rPr>
                <w:sz w:val="1"/>
                <w:szCs w:val="1"/>
                <w:color w:val="auto"/>
              </w:rPr>
            </w:pPr>
          </w:p>
        </w:tc>
      </w:tr>
      <w:tr>
        <w:trPr>
          <w:trHeight w:val="196"/>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Purchased oil and gas sales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c>
          <w:tcPr>
            <w:tcW w:w="0" w:type="dxa"/>
            <w:vAlign w:val="bottom"/>
          </w:tcPr>
          <w:p>
            <w:pPr>
              <w:spacing w:after="0"/>
              <w:rPr>
                <w:sz w:val="1"/>
                <w:szCs w:val="1"/>
                <w:color w:val="auto"/>
              </w:rPr>
            </w:pPr>
          </w:p>
        </w:tc>
      </w:tr>
      <w:tr>
        <w:trPr>
          <w:trHeight w:val="203"/>
        </w:trPr>
        <w:tc>
          <w:tcPr>
            <w:tcW w:w="5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3,804</w:t>
            </w:r>
          </w:p>
        </w:tc>
        <w:tc>
          <w:tcPr>
            <w:tcW w:w="0" w:type="dxa"/>
            <w:vAlign w:val="bottom"/>
          </w:tcPr>
          <w:p>
            <w:pPr>
              <w:spacing w:after="0"/>
              <w:rPr>
                <w:sz w:val="1"/>
                <w:szCs w:val="1"/>
                <w:color w:val="auto"/>
              </w:rPr>
            </w:pPr>
          </w:p>
        </w:tc>
      </w:tr>
      <w:tr>
        <w:trPr>
          <w:trHeight w:val="19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Lease operating expenses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Gathering, processing, and transmission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Purchased oil and gas costs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Taxes other than income</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Exploration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699</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Asset retirement obligation accretion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6"/>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Impairments</w:t>
            </w:r>
          </w:p>
        </w:tc>
        <w:tc>
          <w:tcPr>
            <w:tcW w:w="2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546</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2,184</w:t>
            </w: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Operating Income (Loss)</w:t>
            </w:r>
            <w:r>
              <w:rPr>
                <w:rFonts w:ascii="Times New Roman" w:cs="Times New Roman" w:eastAsia="Times New Roman" w:hAnsi="Times New Roman"/>
                <w:sz w:val="18"/>
                <w:szCs w:val="18"/>
                <w:color w:val="auto"/>
                <w:vertAlign w:val="superscript"/>
              </w:rPr>
              <w:t>(2)</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1,620</w:t>
            </w:r>
          </w:p>
        </w:tc>
        <w:tc>
          <w:tcPr>
            <w:tcW w:w="0" w:type="dxa"/>
            <w:vAlign w:val="bottom"/>
          </w:tcPr>
          <w:p>
            <w:pPr>
              <w:spacing w:after="0"/>
              <w:rPr>
                <w:sz w:val="1"/>
                <w:szCs w:val="1"/>
                <w:color w:val="auto"/>
              </w:rPr>
            </w:pP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Derivative instrument gains,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divestitures, net</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95"/>
        </w:trPr>
        <w:tc>
          <w:tcPr>
            <w:tcW w:w="52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Transaction, reorganization, and separation</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Financing costs, net</w:t>
            </w:r>
          </w:p>
        </w:tc>
        <w:tc>
          <w:tcPr>
            <w:tcW w:w="26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0" w:type="dxa"/>
            <w:vAlign w:val="bottom"/>
          </w:tcPr>
          <w:p>
            <w:pPr>
              <w:spacing w:after="0"/>
              <w:rPr>
                <w:sz w:val="1"/>
                <w:szCs w:val="1"/>
                <w:color w:val="auto"/>
              </w:rPr>
            </w:pPr>
          </w:p>
        </w:tc>
      </w:tr>
      <w:tr>
        <w:trPr>
          <w:trHeight w:val="228"/>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1,510</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40" w:type="dxa"/>
            <w:vAlign w:val="bottom"/>
          </w:tcPr>
          <w:p>
            <w:pPr>
              <w:ind w:left="20"/>
              <w:spacing w:after="0" w:line="202" w:lineRule="exact"/>
              <w:rPr>
                <w:sz w:val="20"/>
                <w:szCs w:val="20"/>
                <w:color w:val="auto"/>
              </w:rPr>
            </w:pPr>
            <w:r>
              <w:rPr>
                <w:rFonts w:ascii="Times New Roman" w:cs="Times New Roman" w:eastAsia="Times New Roman" w:hAnsi="Times New Roman"/>
                <w:sz w:val="14"/>
                <w:szCs w:val="14"/>
                <w:color w:val="auto"/>
              </w:rPr>
              <w:t>Total Assets</w:t>
            </w:r>
            <w:r>
              <w:rPr>
                <w:rFonts w:ascii="Times New Roman" w:cs="Times New Roman" w:eastAsia="Times New Roman" w:hAnsi="Times New Roman"/>
                <w:sz w:val="18"/>
                <w:szCs w:val="18"/>
                <w:color w:val="auto"/>
                <w:vertAlign w:val="superscript"/>
              </w:rPr>
              <w:t>(3)</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7,640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3,365</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oil and gas production revenue that will be paid as taxes by EGPC on behalf of the Company for the quarters and six months ended June 30, 2024 and 2023 of:</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Quarter Ended June 30,</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0" w:type="dxa"/>
            <w:vAlign w:val="bottom"/>
            <w:gridSpan w:val="5"/>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r>
      <w:tr>
        <w:trPr>
          <w:trHeight w:val="23"/>
        </w:trPr>
        <w:tc>
          <w:tcPr>
            <w:tcW w:w="55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540" w:type="dxa"/>
            <w:vAlign w:val="bottom"/>
          </w:tcPr>
          <w:p>
            <w:pPr>
              <w:spacing w:after="0"/>
              <w:rPr>
                <w:sz w:val="16"/>
                <w:szCs w:val="16"/>
                <w:color w:val="auto"/>
              </w:rPr>
            </w:pPr>
          </w:p>
        </w:tc>
        <w:tc>
          <w:tcPr>
            <w:tcW w:w="9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9"/>
        </w:trPr>
        <w:tc>
          <w:tcPr>
            <w:tcW w:w="55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gridSpan w:val="3"/>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
        </w:trPr>
        <w:tc>
          <w:tcPr>
            <w:tcW w:w="5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w:t>
            </w:r>
          </w:p>
        </w:tc>
        <w:tc>
          <w:tcPr>
            <w:tcW w:w="940" w:type="dxa"/>
            <w:vAlign w:val="bottom"/>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r>
      <w:tr>
        <w:trPr>
          <w:trHeight w:val="188"/>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w:t>
            </w: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bl>
    <w:p>
      <w:pPr>
        <w:spacing w:after="0" w:line="140"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includes no leasehold impairments for the second quarter of 2024.</w:t>
      </w:r>
    </w:p>
    <w:p>
      <w:pPr>
        <w:spacing w:after="0" w:line="27" w:lineRule="exact"/>
        <w:rPr>
          <w:rFonts w:ascii="Times New Roman" w:cs="Times New Roman" w:eastAsia="Times New Roman" w:hAnsi="Times New Roman"/>
          <w:sz w:val="14"/>
          <w:szCs w:val="14"/>
          <w:color w:val="auto"/>
        </w:rPr>
      </w:pPr>
    </w:p>
    <w:p>
      <w:pPr>
        <w:jc w:val="both"/>
        <w:ind w:left="340"/>
        <w:spacing w:after="0" w:line="272"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of U.S. and North Sea includes leasehold impairments of $3 million and $3 million, respectively, for the second quarter of 2023. Operating income of U.S. includes leasehold impairments of $10 million for the first six months of 2024. Operating income of U.S. and North Sea includes leasehold impairments of $5 million and $6 million, respectively, for the first six months of 2023.</w:t>
      </w:r>
    </w:p>
    <w:p>
      <w:pPr>
        <w:spacing w:after="0" w:line="6"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Intercompany balances are excluded from total assets.</w:t>
      </w:r>
    </w:p>
    <w:p>
      <w:pPr>
        <w:spacing w:after="0" w:line="68"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noncontrolling interests in Egypt.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2" w:right="339" w:bottom="1440" w:gutter="0" w:footer="0" w:header="0"/>
        </w:sectPr>
      </w:pPr>
    </w:p>
    <w:bookmarkStart w:id="32" w:name="page33"/>
    <w:bookmarkEnd w:id="32"/>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 xml:space="preserve">The following discussion relates to APA Corporation (APA or the Company) and its consolidated subsidiaries and should be read together with the Company’s Consolidated Financial Statements and accompanying notes included in Part I, </w:t>
      </w:r>
      <w:r>
        <w:rPr>
          <w:rFonts w:ascii="Times New Roman" w:cs="Times New Roman" w:eastAsia="Times New Roman" w:hAnsi="Times New Roman"/>
          <w:sz w:val="18"/>
          <w:szCs w:val="18"/>
          <w:u w:val="single" w:color="auto"/>
          <w:color w:val="0000FF"/>
        </w:rPr>
        <w:t>Item 1—Financial Statements</w:t>
      </w:r>
      <w:r>
        <w:rPr>
          <w:rFonts w:ascii="Times New Roman" w:cs="Times New Roman" w:eastAsia="Times New Roman" w:hAnsi="Times New Roman"/>
          <w:sz w:val="18"/>
          <w:szCs w:val="18"/>
          <w:color w:val="auto"/>
        </w:rPr>
        <w:t xml:space="preserve"> of this Quarterly Report on Form 10-Q, as well as related information set forth in the Company’s Consolidated Financial Statements, accompanying Notes to Consolidated Financial Statements, and Management’s Discussion and Analysis of Financial Condition and Results of Operations included in the Company’s Annual Report on Form 10-K for the fiscal year ended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0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APA is an independent energy company that owns consolidated subsidiaries that explore for, develop, and produce natural gas, crude oil, and natural gas liquids (NGLs). The Company’s upstream business has oil and gas operations in three geographic areas: the U.S., Egypt, and offshore the U.K. in the North Sea (North Sea). APA also has active exploration and appraisal operations ongoing in Suriname, as well as interests in Uruguay and other international locations that may, over time, result in reportable discoveries and development opportunities. As a holding company, APA Corporation’s primary assets are its ownership interests in its subsidiaries.</w:t>
      </w:r>
    </w:p>
    <w:p>
      <w:pPr>
        <w:spacing w:after="0" w:line="143"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APA believes energy underpins global progress, and the Company wants to be a part of the solution as society works to meet growing global demand for reliable and affordable energy. APA strives to meet those challenges while creating value for all its stakeholders.</w:t>
      </w:r>
    </w:p>
    <w:p>
      <w:pPr>
        <w:spacing w:after="0" w:line="121"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Uncertainties in the global supply chain and financial markets, including the impact of ongoing international conflicts, inflation, and actions taken by foreign oil and gas producing nations, including OPEC+, impact oil supply and demand and contribute to commodity price volatility. Despite these uncertainties, the Company remains committed to its longer-term objectives: (1) to invest for long-term returns in pursuit of moderate, sustainable production growth; (2) to strengthen the balance sheet to underpin the generation of cash flow in excess of its upstream exploration, appraisal, and development capital program that can be directed to debt reduction, share repurchases, and other return of capital to its shareholders; and (3) to responsibly manage its cost structure regardless of the oil price environment.</w:t>
      </w:r>
    </w:p>
    <w:p>
      <w:pPr>
        <w:spacing w:after="0" w:line="16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closely monitors hydrocarbon pricing fundamentals to reallocate capital as part of its ongoing planning process. APA’s diversified asset portfolio and operational flexibility provide the Company the ability to timely respond to near-term price volatility and effectively manage its investment programs accordingly. For additional detail on the Company’s forward capital investment outlook, refer to “Capital Resources and Liquidity” below.</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remains committed to its capital return framework for equity holders to participate more directly and materially in cash returns.</w:t>
      </w:r>
    </w:p>
    <w:p>
      <w:pPr>
        <w:spacing w:after="0" w:line="117" w:lineRule="exact"/>
        <w:rPr>
          <w:sz w:val="20"/>
          <w:szCs w:val="20"/>
          <w:color w:val="auto"/>
        </w:rPr>
      </w:pPr>
    </w:p>
    <w:p>
      <w:pPr>
        <w:ind w:left="740" w:hanging="327"/>
        <w:spacing w:after="0" w:line="282"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believes returning 60 percent of cash flow over capital investment creates a good balance for providing near-term cash returns to shareholders while still recognizing the importance of longer-term balance sheet strengthening.</w:t>
      </w:r>
    </w:p>
    <w:p>
      <w:pPr>
        <w:spacing w:after="0" w:line="53"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pays a quarterly dividend of $0.25 per share on its common stock.</w:t>
      </w:r>
    </w:p>
    <w:p>
      <w:pPr>
        <w:spacing w:after="0" w:line="117"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the fourth quarter of 2021 and through the end of the second quarter of 2024, the Company has repurchased 80.6 million shares of the Company’s common stock. The Company repurchased 0.1 million shares in July 2024, and as of July 31, 2024, the Company had remaining authorization to repurchase up to 39.3 million shares under the Company’s share repurchase programs.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and Operational Highlights</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On April 1, 2024, APA completed its acquisition of Callon Petroleum Company (Callon) in an all-stock transaction valued at approximately $4.5 billion, inclusive of Callon’s debt (the Callon acquisition). The transaction was approved by APA and Callon shareholders at special meetings held on March 27, 2024. The acquired assets include approximately 120,000 net acres in the Delaware Basin and 25,000 net acres in the Midland Basin. The Company believes the acquisition of Callon provides opportunities to reduce costs, improve capital efficiencies, leverage economies of scale, and expand the development inventory that formed the basis of the transaction value.</w:t>
      </w:r>
    </w:p>
    <w:p>
      <w:pPr>
        <w:spacing w:after="0" w:line="156"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Subject to the terms of the merger agreement (Merger Agreement), each share of Callon common stock was converted into the right to receive 1.0425 shares of APA common stock, with cash in lieu of fractional shares. As a result, APA issued approximately 70 million shares of APA common stock in connection with the transaction, and following the acquisition, Callon common stock is no longer listed for trading on the NYSE.</w:t>
      </w:r>
    </w:p>
    <w:p>
      <w:pPr>
        <w:spacing w:after="0" w:line="135"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In the second quarter of 2024, the Company reported net income attributable to common stock of $541 million, or $1.46 per diluted share, compared to net income of $381 million, or $1.23 per diluted share, in the second quarter of 2023. The increase in net income in the second quarter of 2024 compared to the same prior year period was primarily driven by higher revenues as a result of production from the Callon acquisition, increased drilling activity in the U.S., and higher realized oil and NGL prices during the period. Net income also benefited from $276 million of net gains on divestitures of non-core assets during the second quarter of 2024. These benefits to net income were offset by higher depreciation expense, transaction and reorganization costs, and lease operating expenses compared to the same prior year period, primarily a result of the Callon acquisition.</w:t>
      </w:r>
    </w:p>
    <w:p>
      <w:pPr>
        <w:spacing w:after="0" w:line="14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In the first six months of 2024, the Company reported net income attributable to common stock of $673 million, or $2.00 per diluted share, compared to net income of $623 million, or $2.01 per diluted share, in the first six months of 2023. The increase in net income in the first six months of 2024 compared to the first six months of 2023 was primarily driven by higher revenues as a result of production from the Callon acquisition, increased drilling activity in the Permian Basin, and higher realized oil and NGL prices. Net income also benefited from $283 million of net gains on divestitures of non-core assets and lower deferred income tax expense compared to the same prior year period. These benefits to net income were offset by higher depreciation expense, transaction and reorganization costs, and lease operating expenses compared to the same prior year period, primarily as a result of the Callon acquisition.</w:t>
      </w:r>
    </w:p>
    <w:p>
      <w:pPr>
        <w:spacing w:after="0" w:line="16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generated $1.2 billion of cash from operating activities during the first six months of 2024, 7 percent lower than the first six months of 2023. APA’s lower operating cash flows for the first six months of 2024 were primarily driven by timing of working capital items. The Company repurchased 4.5 million shares of its common stock for $144 million and paid $168 million in dividends to APA common stockholders during the first six months of 2024.</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 operational highlights include:</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21" w:lineRule="exact"/>
        <w:rPr>
          <w:sz w:val="20"/>
          <w:szCs w:val="20"/>
          <w:color w:val="auto"/>
        </w:rPr>
      </w:pPr>
    </w:p>
    <w:p>
      <w:pPr>
        <w:jc w:val="both"/>
        <w:ind w:left="740" w:hanging="327"/>
        <w:spacing w:after="0" w:line="256"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Daily boe production from the Company’s U.S. assets accounted for 64 percent of its total production during the second quarter of 2024 and increased 43 percent from the second quarter of 2023. Daily oil production from the Company’s U.S. assets increased 83 percent from the second quarter of 2023. During the second quarter of 2024, the Company averaged eleven drilling rigs in the Permian Basin, including six rigs in the Southern Midland Basin and five rigs in the Delaware Basin. The Company brought online 60 operated wells during the quarter, of which 25 wells were associated with the Callon acquisition. The Company’s core Permian Basin development program continues to represent key growth areas for the U.S. assets.</w:t>
      </w:r>
    </w:p>
    <w:p>
      <w:pPr>
        <w:spacing w:after="0" w:line="79" w:lineRule="exact"/>
        <w:rPr>
          <w:rFonts w:ascii="Times New Roman" w:cs="Times New Roman" w:eastAsia="Times New Roman" w:hAnsi="Times New Roman"/>
          <w:sz w:val="18"/>
          <w:szCs w:val="18"/>
          <w:color w:val="auto"/>
        </w:rPr>
      </w:pPr>
    </w:p>
    <w:p>
      <w:pPr>
        <w:ind w:left="740" w:hanging="327"/>
        <w:spacing w:after="0" w:line="282" w:lineRule="auto"/>
        <w:tabs>
          <w:tab w:leader="none" w:pos="7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expects to average 10 drilling rigs in the Permian Basin for the remainder of 2024 as it integrates Callon operations, including contracting and logistics, well planning and design, drilling and completions, and facility construction.</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21" w:lineRule="exact"/>
        <w:rPr>
          <w:sz w:val="20"/>
          <w:szCs w:val="20"/>
          <w:color w:val="auto"/>
        </w:rPr>
      </w:pPr>
    </w:p>
    <w:p>
      <w:pPr>
        <w:jc w:val="both"/>
        <w:ind w:left="740" w:hanging="327"/>
        <w:spacing w:after="0" w:line="258" w:lineRule="auto"/>
        <w:tabs>
          <w:tab w:leader="none" w:pos="7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Egypt, the Company continued its drilling and workover activity with a focus on oil production. The Company averaged 15 drilling rigs and drilled 14 new productive wells during the second quarter of 2024. During the same period, the Company averaged 20 workover rigs as it continues to align its drilling and workover activity with a goal of driving improved capital efficiency. Second quarter 2024 gross production from the Company’s Egypt assets decreased 7 percent from the second quarter of 2023, and net production decreased 8 percent, while daily oil production remained essentially flat.</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ind w:left="327" w:hanging="327"/>
        <w:spacing w:after="0" w:line="282" w:lineRule="auto"/>
        <w:tabs>
          <w:tab w:leader="none" w:pos="322"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suspended all new drilling activity in the North Sea during the second quarter of 2023. The Company’s investment program in the North Sea is now directed toward safety, base production management, and asset maintenance and integrity.</w:t>
      </w:r>
    </w:p>
    <w:p>
      <w:pPr>
        <w:spacing w:after="0" w:line="200" w:lineRule="exact"/>
        <w:rPr>
          <w:sz w:val="20"/>
          <w:szCs w:val="20"/>
          <w:color w:val="auto"/>
        </w:rPr>
      </w:pPr>
    </w:p>
    <w:p>
      <w:pPr>
        <w:spacing w:after="0" w:line="299" w:lineRule="exact"/>
        <w:rPr>
          <w:sz w:val="20"/>
          <w:szCs w:val="20"/>
          <w:color w:val="auto"/>
        </w:rPr>
      </w:pPr>
    </w:p>
    <w:p>
      <w:pPr>
        <w:jc w:val="center"/>
        <w:ind w:right="393"/>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7"/>
          </w:cols>
          <w:pgMar w:left="733" w:top="99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Oil, Natural Gas, and Natural Gas Liquids Production Revenues</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production revenues and respective contribution to total revenues by country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922"/>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ind w:right="921"/>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133"/>
        </w:trPr>
        <w:tc>
          <w:tcPr>
            <w:tcW w:w="1680" w:type="dxa"/>
            <w:vAlign w:val="bottom"/>
          </w:tcPr>
          <w:p>
            <w:pPr>
              <w:spacing w:after="0"/>
              <w:rPr>
                <w:sz w:val="11"/>
                <w:szCs w:val="11"/>
                <w:color w:val="auto"/>
              </w:rPr>
            </w:pPr>
          </w:p>
        </w:tc>
        <w:tc>
          <w:tcPr>
            <w:tcW w:w="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40" w:type="dxa"/>
            <w:vAlign w:val="bottom"/>
            <w:gridSpan w:val="3"/>
          </w:tcPr>
          <w:p>
            <w:pPr>
              <w:jc w:val="right"/>
              <w:ind w:right="460"/>
              <w:spacing w:after="0" w:line="133"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 Value</w:t>
            </w:r>
          </w:p>
        </w:tc>
        <w:tc>
          <w:tcPr>
            <w:tcW w:w="1360" w:type="dxa"/>
            <w:vAlign w:val="bottom"/>
            <w:gridSpan w:val="3"/>
          </w:tcPr>
          <w:p>
            <w:pPr>
              <w:jc w:val="right"/>
              <w:ind w:right="462"/>
              <w:spacing w:after="0" w:line="133"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Value</w:t>
            </w:r>
          </w:p>
        </w:tc>
        <w:tc>
          <w:tcPr>
            <w:tcW w:w="1340" w:type="dxa"/>
            <w:vAlign w:val="bottom"/>
            <w:gridSpan w:val="3"/>
          </w:tcPr>
          <w:p>
            <w:pPr>
              <w:jc w:val="right"/>
              <w:ind w:right="440"/>
              <w:spacing w:after="0" w:line="133"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 Value</w:t>
            </w:r>
          </w:p>
        </w:tc>
        <w:tc>
          <w:tcPr>
            <w:tcW w:w="1340" w:type="dxa"/>
            <w:vAlign w:val="bottom"/>
            <w:gridSpan w:val="3"/>
          </w:tcPr>
          <w:p>
            <w:pPr>
              <w:jc w:val="right"/>
              <w:ind w:right="441"/>
              <w:spacing w:after="0" w:line="133"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1680" w:type="dxa"/>
            <w:vAlign w:val="bottom"/>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Contribution</w:t>
            </w:r>
          </w:p>
        </w:tc>
        <w:tc>
          <w:tcPr>
            <w:tcW w:w="0" w:type="dxa"/>
            <w:vAlign w:val="bottom"/>
          </w:tcPr>
          <w:p>
            <w:pPr>
              <w:spacing w:after="0"/>
              <w:rPr>
                <w:sz w:val="1"/>
                <w:szCs w:val="1"/>
                <w:color w:val="auto"/>
              </w:rPr>
            </w:pPr>
          </w:p>
        </w:tc>
      </w:tr>
      <w:tr>
        <w:trPr>
          <w:trHeight w:val="218"/>
        </w:trPr>
        <w:tc>
          <w:tcPr>
            <w:tcW w:w="1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 in millions)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1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Revenues: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1,021</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Egypt</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1,247</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0" w:type="dxa"/>
            <w:vAlign w:val="bottom"/>
          </w:tcPr>
          <w:p>
            <w:pPr>
              <w:spacing w:after="0"/>
              <w:rPr>
                <w:sz w:val="1"/>
                <w:szCs w:val="1"/>
                <w:color w:val="auto"/>
              </w:rPr>
            </w:pPr>
          </w:p>
        </w:tc>
      </w:tr>
      <w:tr>
        <w:trPr>
          <w:trHeight w:val="213"/>
        </w:trPr>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0" w:type="dxa"/>
            <w:vAlign w:val="bottom"/>
          </w:tcPr>
          <w:p>
            <w:pPr>
              <w:spacing w:after="0"/>
              <w:rPr>
                <w:sz w:val="1"/>
                <w:szCs w:val="1"/>
                <w:color w:val="auto"/>
              </w:rPr>
            </w:pPr>
          </w:p>
        </w:tc>
      </w:tr>
      <w:tr>
        <w:trPr>
          <w:trHeight w:val="237"/>
        </w:trPr>
        <w:tc>
          <w:tcPr>
            <w:tcW w:w="1680" w:type="dxa"/>
            <w:vAlign w:val="bottom"/>
            <w:tcBorders>
              <w:top w:val="single" w:sz="8" w:color="CCEEFF"/>
              <w:bottom w:val="single" w:sz="8" w:color="CCEEFF"/>
            </w:tcBorders>
            <w:shd w:val="clear" w:color="auto" w:fill="CCEEFF"/>
          </w:tcPr>
          <w:p>
            <w:pPr>
              <w:ind w:left="360"/>
              <w:spacing w:after="0" w:line="213"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1,365</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3,339</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 Revenues: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16"/>
                <w:szCs w:val="16"/>
                <w:color w:val="auto"/>
              </w:rPr>
              <w:t>Egypt</w:t>
            </w:r>
            <w:r>
              <w:rPr>
                <w:rFonts w:ascii="Times New Roman" w:cs="Times New Roman" w:eastAsia="Times New Roman" w:hAnsi="Times New Roman"/>
                <w:sz w:val="21"/>
                <w:szCs w:val="21"/>
                <w:color w:val="auto"/>
                <w:vertAlign w:val="superscript"/>
              </w:rPr>
              <w:t>(1)</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0" w:type="dxa"/>
            <w:vAlign w:val="bottom"/>
          </w:tcPr>
          <w:p>
            <w:pPr>
              <w:spacing w:after="0"/>
              <w:rPr>
                <w:sz w:val="1"/>
                <w:szCs w:val="1"/>
                <w:color w:val="auto"/>
              </w:rPr>
            </w:pPr>
          </w:p>
        </w:tc>
      </w:tr>
      <w:tr>
        <w:trPr>
          <w:trHeight w:val="213"/>
        </w:trPr>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29 %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237"/>
        </w:trPr>
        <w:tc>
          <w:tcPr>
            <w:tcW w:w="1680" w:type="dxa"/>
            <w:vAlign w:val="bottom"/>
            <w:tcBorders>
              <w:top w:val="single" w:sz="8" w:color="CCEEFF"/>
              <w:bottom w:val="single" w:sz="8" w:color="CCEEFF"/>
            </w:tcBorders>
            <w:shd w:val="clear" w:color="auto" w:fill="CCEEFF"/>
          </w:tcPr>
          <w:p>
            <w:pPr>
              <w:ind w:left="360"/>
              <w:spacing w:after="0" w:line="213"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360" w:type="dxa"/>
            <w:vAlign w:val="bottom"/>
            <w:tcBorders>
              <w:top w:val="single" w:sz="8" w:color="auto"/>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6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1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NGL Revenues:</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95 %</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94 %</w:t>
            </w: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3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10"/>
        </w:trPr>
        <w:tc>
          <w:tcPr>
            <w:tcW w:w="168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6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6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Oil and Gas Revenues:</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0" w:type="dxa"/>
            <w:vAlign w:val="bottom"/>
          </w:tcPr>
          <w:p>
            <w:pPr>
              <w:spacing w:after="0"/>
              <w:rPr>
                <w:sz w:val="1"/>
                <w:szCs w:val="1"/>
                <w:color w:val="auto"/>
              </w:rPr>
            </w:pPr>
          </w:p>
        </w:tc>
      </w:tr>
      <w:tr>
        <w:trPr>
          <w:trHeight w:val="216"/>
        </w:trPr>
        <w:tc>
          <w:tcPr>
            <w:tcW w:w="16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Egypt</w:t>
            </w:r>
            <w:r>
              <w:rPr>
                <w:rFonts w:ascii="Times New Roman" w:cs="Times New Roman" w:eastAsia="Times New Roman" w:hAnsi="Times New Roman"/>
                <w:sz w:val="21"/>
                <w:szCs w:val="21"/>
                <w:color w:val="auto"/>
                <w:vertAlign w:val="superscript"/>
              </w:rPr>
              <w:t>(1)</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708</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42 %</w:t>
            </w:r>
          </w:p>
        </w:tc>
        <w:tc>
          <w:tcPr>
            <w:tcW w:w="0" w:type="dxa"/>
            <w:vAlign w:val="bottom"/>
          </w:tcPr>
          <w:p>
            <w:pPr>
              <w:spacing w:after="0"/>
              <w:rPr>
                <w:sz w:val="1"/>
                <w:szCs w:val="1"/>
                <w:color w:val="auto"/>
              </w:rPr>
            </w:pPr>
          </w:p>
        </w:tc>
      </w:tr>
      <w:tr>
        <w:trPr>
          <w:trHeight w:val="216"/>
        </w:trPr>
        <w:tc>
          <w:tcPr>
            <w:tcW w:w="1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0"/>
        </w:trPr>
        <w:tc>
          <w:tcPr>
            <w:tcW w:w="168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Total</w:t>
            </w:r>
            <w:r>
              <w:rPr>
                <w:rFonts w:ascii="Times New Roman" w:cs="Times New Roman" w:eastAsia="Times New Roman" w:hAnsi="Times New Roman"/>
                <w:sz w:val="21"/>
                <w:szCs w:val="21"/>
                <w:color w:val="auto"/>
                <w:vertAlign w:val="superscript"/>
              </w:rPr>
              <w:t>(1)</w:t>
            </w:r>
          </w:p>
        </w:tc>
        <w:tc>
          <w:tcPr>
            <w:tcW w:w="36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1,652</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3,421</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100 %</w:t>
            </w: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(1)</w:t>
        <w:tab/>
        <w:t>Includes revenues attributable to a noncontrolling interest in Egypt.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i w:val="1"/>
          <w:iCs w:val="1"/>
          <w:color w:val="auto"/>
        </w:rPr>
        <w:t>Production</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production volumes by country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40" w:type="dxa"/>
            <w:vAlign w:val="bottom"/>
            <w:gridSpan w:val="6"/>
          </w:tcPr>
          <w:p>
            <w:pPr>
              <w:jc w:val="center"/>
              <w:ind w:left="706"/>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6"/>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40" w:type="dxa"/>
            <w:vAlign w:val="bottom"/>
          </w:tcPr>
          <w:p>
            <w:pPr>
              <w:spacing w:after="0"/>
              <w:rPr>
                <w:sz w:val="13"/>
                <w:szCs w:val="13"/>
                <w:color w:val="auto"/>
              </w:rPr>
            </w:pPr>
          </w:p>
        </w:tc>
        <w:tc>
          <w:tcPr>
            <w:tcW w:w="1200" w:type="dxa"/>
            <w:vAlign w:val="bottom"/>
            <w:gridSpan w:val="2"/>
            <w:vMerge w:val="restart"/>
          </w:tcPr>
          <w:p>
            <w:pPr>
              <w:jc w:val="right"/>
              <w:ind w:right="366"/>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gridSpan w:val="3"/>
          </w:tcPr>
          <w:p>
            <w:pPr>
              <w:jc w:val="center"/>
              <w:ind w:right="460"/>
              <w:spacing w:after="0" w:line="158"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820" w:type="dxa"/>
            <w:vAlign w:val="bottom"/>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1200" w:type="dxa"/>
            <w:vAlign w:val="bottom"/>
            <w:vMerge w:val="restart"/>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720" w:type="dxa"/>
            <w:vAlign w:val="bottom"/>
            <w:gridSpan w:val="4"/>
          </w:tcPr>
          <w:p>
            <w:pPr>
              <w:jc w:val="center"/>
              <w:ind w:right="500"/>
              <w:spacing w:after="0" w:line="158"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780" w:type="dxa"/>
            <w:vAlign w:val="bottom"/>
            <w:vMerge w:val="restart"/>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3"/>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4"/>
          </w:tcPr>
          <w:p>
            <w:pPr>
              <w:jc w:val="center"/>
              <w:ind w:right="52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Oil Volume (b/d)</w:t>
            </w:r>
          </w:p>
        </w:tc>
        <w:tc>
          <w:tcPr>
            <w:tcW w:w="4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139,361</w:t>
            </w:r>
          </w:p>
        </w:tc>
        <w:tc>
          <w:tcPr>
            <w:tcW w:w="130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75,993</w:t>
            </w:r>
          </w:p>
        </w:tc>
        <w:tc>
          <w:tcPr>
            <w:tcW w:w="10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111,441</w:t>
            </w:r>
          </w:p>
        </w:tc>
        <w:tc>
          <w:tcPr>
            <w:tcW w:w="13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73,952</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25"/>
                <w:szCs w:val="25"/>
                <w:color w:val="auto"/>
                <w:vertAlign w:val="subscript"/>
              </w:rPr>
              <w:t>Egypt</w:t>
            </w:r>
            <w:r>
              <w:rPr>
                <w:rFonts w:ascii="Times New Roman" w:cs="Times New Roman" w:eastAsia="Times New Roman" w:hAnsi="Times New Roman"/>
                <w:sz w:val="9"/>
                <w:szCs w:val="9"/>
                <w:color w:val="auto"/>
              </w:rPr>
              <w:t>(1)(2)</w:t>
            </w:r>
          </w:p>
        </w:tc>
        <w:tc>
          <w:tcPr>
            <w:tcW w:w="12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87,702</w:t>
            </w:r>
          </w:p>
        </w:tc>
        <w:tc>
          <w:tcPr>
            <w:tcW w:w="130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3"/>
              </w:rPr>
              <w:t>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87,790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87,235</w:t>
            </w:r>
          </w:p>
        </w:tc>
        <w:tc>
          <w:tcPr>
            <w:tcW w:w="13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87,792</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120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26,586</w:t>
            </w:r>
          </w:p>
        </w:tc>
        <w:tc>
          <w:tcPr>
            <w:tcW w:w="1300" w:type="dxa"/>
            <w:vAlign w:val="bottom"/>
            <w:tcBorders>
              <w:bottom w:val="single" w:sz="8" w:color="CCEEFF"/>
            </w:tcBorders>
            <w:gridSpan w:val="3"/>
          </w:tcPr>
          <w:p>
            <w:pPr>
              <w:jc w:val="center"/>
              <w:ind w:left="19"/>
              <w:spacing w:after="0"/>
              <w:rPr>
                <w:sz w:val="20"/>
                <w:szCs w:val="20"/>
                <w:color w:val="auto"/>
              </w:rPr>
            </w:pPr>
            <w:r>
              <w:rPr>
                <w:rFonts w:ascii="Times New Roman" w:cs="Times New Roman" w:eastAsia="Times New Roman" w:hAnsi="Times New Roman"/>
                <w:sz w:val="16"/>
                <w:szCs w:val="16"/>
                <w:color w:val="auto"/>
                <w:w w:val="99"/>
              </w:rPr>
              <w:t>(24)%</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35,048</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28,190</w:t>
            </w:r>
          </w:p>
        </w:tc>
        <w:tc>
          <w:tcPr>
            <w:tcW w:w="130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36,268</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bottom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253,649</w:t>
            </w:r>
          </w:p>
        </w:tc>
        <w:tc>
          <w:tcPr>
            <w:tcW w:w="1300" w:type="dxa"/>
            <w:vAlign w:val="bottom"/>
            <w:tcBorders>
              <w:bottom w:val="single" w:sz="8" w:color="CCEEFF"/>
            </w:tcBorders>
            <w:gridSpan w:val="3"/>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198,831</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226,866</w:t>
            </w:r>
          </w:p>
        </w:tc>
        <w:tc>
          <w:tcPr>
            <w:tcW w:w="1300" w:type="dxa"/>
            <w:vAlign w:val="bottom"/>
            <w:tcBorders>
              <w:bottom w:val="single" w:sz="8" w:color="CCEEFF"/>
            </w:tcBorders>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198,012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 Volume (Mcf/d)</w:t>
            </w: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510,708</w:t>
            </w:r>
          </w:p>
        </w:tc>
        <w:tc>
          <w:tcPr>
            <w:tcW w:w="130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450,200</w:t>
            </w:r>
          </w:p>
        </w:tc>
        <w:tc>
          <w:tcPr>
            <w:tcW w:w="10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477,223</w:t>
            </w:r>
          </w:p>
        </w:tc>
        <w:tc>
          <w:tcPr>
            <w:tcW w:w="13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445,887</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line="219" w:lineRule="exact"/>
              <w:rPr>
                <w:sz w:val="20"/>
                <w:szCs w:val="20"/>
                <w:color w:val="auto"/>
              </w:rPr>
            </w:pPr>
            <w:r>
              <w:rPr>
                <w:rFonts w:ascii="Times New Roman" w:cs="Times New Roman" w:eastAsia="Times New Roman" w:hAnsi="Times New Roman"/>
                <w:sz w:val="25"/>
                <w:szCs w:val="25"/>
                <w:color w:val="auto"/>
                <w:vertAlign w:val="subscript"/>
              </w:rPr>
              <w:t>Egypt</w:t>
            </w:r>
            <w:r>
              <w:rPr>
                <w:rFonts w:ascii="Times New Roman" w:cs="Times New Roman" w:eastAsia="Times New Roman" w:hAnsi="Times New Roman"/>
                <w:sz w:val="9"/>
                <w:szCs w:val="9"/>
                <w:color w:val="auto"/>
              </w:rPr>
              <w:t>(1)(2)</w:t>
            </w:r>
          </w:p>
        </w:tc>
        <w:tc>
          <w:tcPr>
            <w:tcW w:w="12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273,077</w:t>
            </w:r>
          </w:p>
        </w:tc>
        <w:tc>
          <w:tcPr>
            <w:tcW w:w="130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337,413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281,652</w:t>
            </w:r>
          </w:p>
        </w:tc>
        <w:tc>
          <w:tcPr>
            <w:tcW w:w="13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346,829</w:t>
            </w:r>
          </w:p>
        </w:tc>
        <w:tc>
          <w:tcPr>
            <w:tcW w:w="0" w:type="dxa"/>
            <w:vAlign w:val="bottom"/>
          </w:tcPr>
          <w:p>
            <w:pPr>
              <w:spacing w:after="0"/>
              <w:rPr>
                <w:sz w:val="1"/>
                <w:szCs w:val="1"/>
                <w:color w:val="auto"/>
              </w:rPr>
            </w:pPr>
          </w:p>
        </w:tc>
      </w:tr>
      <w:tr>
        <w:trPr>
          <w:trHeight w:val="213"/>
        </w:trPr>
        <w:tc>
          <w:tcPr>
            <w:tcW w:w="3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120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51,854</w:t>
            </w:r>
          </w:p>
        </w:tc>
        <w:tc>
          <w:tcPr>
            <w:tcW w:w="1300" w:type="dxa"/>
            <w:vAlign w:val="bottom"/>
            <w:tcBorders>
              <w:bottom w:val="single" w:sz="8" w:color="CCEEFF"/>
            </w:tcBorders>
            <w:gridSpan w:val="3"/>
          </w:tcPr>
          <w:p>
            <w:pPr>
              <w:jc w:val="center"/>
              <w:ind w:left="3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37,194</w:t>
            </w:r>
          </w:p>
        </w:tc>
        <w:tc>
          <w:tcPr>
            <w:tcW w:w="1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52,229</w:t>
            </w:r>
          </w:p>
        </w:tc>
        <w:tc>
          <w:tcPr>
            <w:tcW w:w="1300" w:type="dxa"/>
            <w:vAlign w:val="bottom"/>
            <w:tcBorders>
              <w:bottom w:val="single" w:sz="8" w:color="CCEEFF"/>
            </w:tcBorders>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38,769</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bottom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835,639</w:t>
            </w:r>
          </w:p>
        </w:tc>
        <w:tc>
          <w:tcPr>
            <w:tcW w:w="1300" w:type="dxa"/>
            <w:vAlign w:val="bottom"/>
            <w:tcBorders>
              <w:bottom w:val="single" w:sz="8" w:color="CCEEFF"/>
            </w:tcBorders>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3"/>
              </w:rPr>
              <w:t>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824,807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811,104</w:t>
            </w:r>
          </w:p>
        </w:tc>
        <w:tc>
          <w:tcPr>
            <w:tcW w:w="130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831,485</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NGL Volume (b/d)</w:t>
            </w:r>
          </w:p>
        </w:tc>
        <w:tc>
          <w:tcPr>
            <w:tcW w:w="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78,937</w:t>
            </w:r>
          </w:p>
        </w:tc>
        <w:tc>
          <w:tcPr>
            <w:tcW w:w="130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61,760</w:t>
            </w:r>
          </w:p>
        </w:tc>
        <w:tc>
          <w:tcPr>
            <w:tcW w:w="10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67,756</w:t>
            </w:r>
          </w:p>
        </w:tc>
        <w:tc>
          <w:tcPr>
            <w:tcW w:w="13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58,947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1200" w:type="dxa"/>
            <w:vAlign w:val="bottom"/>
            <w:tcBorders>
              <w:bottom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1,550</w:t>
            </w:r>
          </w:p>
        </w:tc>
        <w:tc>
          <w:tcPr>
            <w:tcW w:w="1300" w:type="dxa"/>
            <w:vAlign w:val="bottom"/>
            <w:gridSpan w:val="3"/>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1,477</w:t>
            </w:r>
          </w:p>
        </w:tc>
        <w:tc>
          <w:tcPr>
            <w:tcW w:w="13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0" w:type="dxa"/>
            <w:vAlign w:val="bottom"/>
          </w:tcPr>
          <w:p>
            <w:pPr>
              <w:spacing w:after="0"/>
              <w:rPr>
                <w:sz w:val="1"/>
                <w:szCs w:val="1"/>
                <w:color w:val="auto"/>
              </w:rPr>
            </w:pPr>
          </w:p>
        </w:tc>
      </w:tr>
      <w:tr>
        <w:trPr>
          <w:trHeight w:val="212"/>
        </w:trPr>
        <w:tc>
          <w:tcPr>
            <w:tcW w:w="3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80,487</w:t>
            </w:r>
          </w:p>
        </w:tc>
        <w:tc>
          <w:tcPr>
            <w:tcW w:w="130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62,632</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69,233</w:t>
            </w:r>
          </w:p>
        </w:tc>
        <w:tc>
          <w:tcPr>
            <w:tcW w:w="13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60,009</w:t>
            </w:r>
          </w:p>
        </w:tc>
        <w:tc>
          <w:tcPr>
            <w:tcW w:w="0" w:type="dxa"/>
            <w:vAlign w:val="bottom"/>
          </w:tcPr>
          <w:p>
            <w:pPr>
              <w:spacing w:after="0"/>
              <w:rPr>
                <w:sz w:val="1"/>
                <w:szCs w:val="1"/>
                <w:color w:val="auto"/>
              </w:rPr>
            </w:pPr>
          </w:p>
        </w:tc>
      </w:tr>
      <w:tr>
        <w:trPr>
          <w:trHeight w:val="20"/>
        </w:trPr>
        <w:tc>
          <w:tcPr>
            <w:tcW w:w="35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5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BOE per day</w:t>
            </w:r>
            <w:r>
              <w:rPr>
                <w:rFonts w:ascii="Times New Roman" w:cs="Times New Roman" w:eastAsia="Times New Roman" w:hAnsi="Times New Roman"/>
                <w:sz w:val="21"/>
                <w:szCs w:val="21"/>
                <w:color w:val="auto"/>
                <w:vertAlign w:val="superscript"/>
              </w:rPr>
              <w:t>(3)</w:t>
            </w:r>
          </w:p>
        </w:tc>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1200" w:type="dxa"/>
            <w:vAlign w:val="bottom"/>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303,416</w:t>
            </w:r>
          </w:p>
        </w:tc>
        <w:tc>
          <w:tcPr>
            <w:tcW w:w="1300" w:type="dxa"/>
            <w:vAlign w:val="bottom"/>
            <w:gridSpan w:val="3"/>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212,786</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258,733</w:t>
            </w:r>
          </w:p>
        </w:tc>
        <w:tc>
          <w:tcPr>
            <w:tcW w:w="1300" w:type="dxa"/>
            <w:vAlign w:val="bottom"/>
            <w:gridSpan w:val="2"/>
            <w:shd w:val="clear" w:color="auto" w:fill="CCEEFF"/>
          </w:tcPr>
          <w:p>
            <w:pPr>
              <w:jc w:val="center"/>
              <w:ind w:left="39"/>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207,213</w:t>
            </w:r>
          </w:p>
        </w:tc>
        <w:tc>
          <w:tcPr>
            <w:tcW w:w="0" w:type="dxa"/>
            <w:vAlign w:val="bottom"/>
          </w:tcPr>
          <w:p>
            <w:pPr>
              <w:spacing w:after="0"/>
              <w:rPr>
                <w:sz w:val="1"/>
                <w:szCs w:val="1"/>
                <w:color w:val="auto"/>
              </w:rPr>
            </w:pPr>
          </w:p>
        </w:tc>
      </w:tr>
      <w:tr>
        <w:trPr>
          <w:trHeight w:val="216"/>
        </w:trPr>
        <w:tc>
          <w:tcPr>
            <w:tcW w:w="3540" w:type="dxa"/>
            <w:vAlign w:val="bottom"/>
          </w:tcPr>
          <w:p>
            <w:pPr>
              <w:ind w:left="180"/>
              <w:spacing w:after="0" w:line="216" w:lineRule="exact"/>
              <w:rPr>
                <w:sz w:val="20"/>
                <w:szCs w:val="20"/>
                <w:color w:val="auto"/>
              </w:rPr>
            </w:pPr>
            <w:r>
              <w:rPr>
                <w:rFonts w:ascii="Times New Roman" w:cs="Times New Roman" w:eastAsia="Times New Roman" w:hAnsi="Times New Roman"/>
                <w:sz w:val="25"/>
                <w:szCs w:val="25"/>
                <w:color w:val="auto"/>
                <w:vertAlign w:val="subscript"/>
              </w:rPr>
              <w:t>Egypt</w:t>
            </w:r>
            <w:r>
              <w:rPr>
                <w:rFonts w:ascii="Times New Roman" w:cs="Times New Roman" w:eastAsia="Times New Roman" w:hAnsi="Times New Roman"/>
                <w:sz w:val="9"/>
                <w:szCs w:val="9"/>
                <w:color w:val="auto"/>
              </w:rPr>
              <w:t>(1)(2)</w:t>
            </w:r>
          </w:p>
        </w:tc>
        <w:tc>
          <w:tcPr>
            <w:tcW w:w="120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133,215</w:t>
            </w:r>
          </w:p>
        </w:tc>
        <w:tc>
          <w:tcPr>
            <w:tcW w:w="1300" w:type="dxa"/>
            <w:vAlign w:val="bottom"/>
            <w:gridSpan w:val="3"/>
          </w:tcPr>
          <w:p>
            <w:pPr>
              <w:jc w:val="center"/>
              <w:ind w:left="19"/>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144,026</w:t>
            </w:r>
          </w:p>
        </w:tc>
        <w:tc>
          <w:tcPr>
            <w:tcW w:w="100" w:type="dxa"/>
            <w:vAlign w:val="bottom"/>
          </w:tcPr>
          <w:p>
            <w:pPr>
              <w:spacing w:after="0"/>
              <w:rPr>
                <w:sz w:val="18"/>
                <w:szCs w:val="18"/>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134,177</w:t>
            </w:r>
          </w:p>
        </w:tc>
        <w:tc>
          <w:tcPr>
            <w:tcW w:w="130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145,597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North Sea</w:t>
            </w:r>
            <w:r>
              <w:rPr>
                <w:rFonts w:ascii="Times New Roman" w:cs="Times New Roman" w:eastAsia="Times New Roman" w:hAnsi="Times New Roman"/>
                <w:sz w:val="21"/>
                <w:szCs w:val="21"/>
                <w:color w:val="auto"/>
                <w:vertAlign w:val="superscript"/>
              </w:rPr>
              <w:t>(4)</w:t>
            </w:r>
          </w:p>
        </w:tc>
        <w:tc>
          <w:tcPr>
            <w:tcW w:w="1200" w:type="dxa"/>
            <w:vAlign w:val="bottom"/>
            <w:tcBorders>
              <w:bottom w:val="single" w:sz="8" w:color="auto"/>
            </w:tcBorders>
            <w:gridSpan w:val="2"/>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36,778</w:t>
            </w:r>
          </w:p>
        </w:tc>
        <w:tc>
          <w:tcPr>
            <w:tcW w:w="1300" w:type="dxa"/>
            <w:vAlign w:val="bottom"/>
            <w:gridSpan w:val="3"/>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42,118</w:t>
            </w:r>
          </w:p>
        </w:tc>
        <w:tc>
          <w:tcPr>
            <w:tcW w:w="10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38,373</w:t>
            </w:r>
          </w:p>
        </w:tc>
        <w:tc>
          <w:tcPr>
            <w:tcW w:w="130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43,792</w:t>
            </w:r>
          </w:p>
        </w:tc>
        <w:tc>
          <w:tcPr>
            <w:tcW w:w="0" w:type="dxa"/>
            <w:vAlign w:val="bottom"/>
          </w:tcPr>
          <w:p>
            <w:pPr>
              <w:spacing w:after="0"/>
              <w:rPr>
                <w:sz w:val="1"/>
                <w:szCs w:val="1"/>
                <w:color w:val="auto"/>
              </w:rPr>
            </w:pPr>
          </w:p>
        </w:tc>
      </w:tr>
      <w:tr>
        <w:trPr>
          <w:trHeight w:val="210"/>
        </w:trPr>
        <w:tc>
          <w:tcPr>
            <w:tcW w:w="3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1200" w:type="dxa"/>
            <w:vAlign w:val="bottom"/>
            <w:tcBorders>
              <w:bottom w:val="single" w:sz="8" w:color="auto"/>
            </w:tcBorders>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473,409</w:t>
            </w:r>
          </w:p>
        </w:tc>
        <w:tc>
          <w:tcPr>
            <w:tcW w:w="1300" w:type="dxa"/>
            <w:vAlign w:val="bottom"/>
            <w:gridSpan w:val="3"/>
          </w:tcPr>
          <w:p>
            <w:pPr>
              <w:jc w:val="center"/>
              <w:ind w:left="39"/>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398,930</w:t>
            </w:r>
          </w:p>
        </w:tc>
        <w:tc>
          <w:tcPr>
            <w:tcW w:w="100" w:type="dxa"/>
            <w:vAlign w:val="bottom"/>
          </w:tcPr>
          <w:p>
            <w:pPr>
              <w:spacing w:after="0"/>
              <w:rPr>
                <w:sz w:val="18"/>
                <w:szCs w:val="18"/>
                <w:color w:val="auto"/>
              </w:rPr>
            </w:pPr>
          </w:p>
        </w:tc>
        <w:tc>
          <w:tcPr>
            <w:tcW w:w="1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431,283</w:t>
            </w:r>
          </w:p>
        </w:tc>
        <w:tc>
          <w:tcPr>
            <w:tcW w:w="13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396,602</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4"/>
        </w:trPr>
        <w:tc>
          <w:tcPr>
            <w:tcW w:w="47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(1)  Gross oil, natural gas, and NGL production in Egypt were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940" w:type="dxa"/>
            <w:vAlign w:val="bottom"/>
            <w:gridSpan w:val="6"/>
          </w:tcPr>
          <w:p>
            <w:pPr>
              <w:jc w:val="center"/>
              <w:ind w:left="726"/>
              <w:spacing w:after="0"/>
              <w:rPr>
                <w:sz w:val="20"/>
                <w:szCs w:val="20"/>
                <w:color w:val="auto"/>
              </w:rPr>
            </w:pPr>
            <w:r>
              <w:rPr>
                <w:rFonts w:ascii="Times New Roman" w:cs="Times New Roman" w:eastAsia="Times New Roman" w:hAnsi="Times New Roman"/>
                <w:sz w:val="14"/>
                <w:szCs w:val="14"/>
                <w:b w:val="1"/>
                <w:bCs w:val="1"/>
                <w:color w:val="auto"/>
              </w:rPr>
              <w:t>For the Quarter Ended June 30,</w:t>
            </w: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20" w:type="dxa"/>
            <w:vAlign w:val="bottom"/>
            <w:gridSpan w:val="6"/>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35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5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36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CCEEFF"/>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200" w:type="dxa"/>
            <w:vAlign w:val="bottom"/>
            <w:tcBorders>
              <w:top w:val="single" w:sz="8" w:color="auto"/>
              <w:bottom w:val="single" w:sz="8" w:color="CCEEFF"/>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2"/>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(b/d)</w:t>
            </w:r>
          </w:p>
        </w:tc>
        <w:tc>
          <w:tcPr>
            <w:tcW w:w="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139,490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140,652</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138,731</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140,708</w:t>
            </w:r>
          </w:p>
        </w:tc>
        <w:tc>
          <w:tcPr>
            <w:tcW w:w="0" w:type="dxa"/>
            <w:vAlign w:val="bottom"/>
          </w:tcPr>
          <w:p>
            <w:pPr>
              <w:spacing w:after="0"/>
              <w:rPr>
                <w:sz w:val="1"/>
                <w:szCs w:val="1"/>
                <w:color w:val="auto"/>
              </w:rPr>
            </w:pPr>
          </w:p>
        </w:tc>
      </w:tr>
      <w:tr>
        <w:trPr>
          <w:trHeight w:val="188"/>
        </w:trPr>
        <w:tc>
          <w:tcPr>
            <w:tcW w:w="3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(Mcf/d)</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431,750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517,291</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444,499</w:t>
            </w: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531,093</w:t>
            </w: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(2)</w:t>
        <w:tab/>
        <w:t>Includes net production volumes per day attributable to a noncontrolling interest in Egypt of:</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94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For the Quarter Ended June 30,</w:t>
            </w: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2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For the Six Months Ended June 30,</w:t>
            </w:r>
          </w:p>
        </w:tc>
        <w:tc>
          <w:tcPr>
            <w:tcW w:w="780" w:type="dxa"/>
            <w:vAlign w:val="bottom"/>
          </w:tcPr>
          <w:p>
            <w:pPr>
              <w:spacing w:after="0"/>
              <w:rPr>
                <w:sz w:val="16"/>
                <w:szCs w:val="16"/>
                <w:color w:val="auto"/>
              </w:rPr>
            </w:pPr>
          </w:p>
        </w:tc>
      </w:tr>
      <w:tr>
        <w:trPr>
          <w:trHeight w:val="23"/>
        </w:trPr>
        <w:tc>
          <w:tcPr>
            <w:tcW w:w="35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35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Oil (b/d)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29,255</w:t>
            </w:r>
          </w:p>
        </w:tc>
        <w:tc>
          <w:tcPr>
            <w:tcW w:w="1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29,298</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29,099</w:t>
            </w:r>
          </w:p>
        </w:tc>
        <w:tc>
          <w:tcPr>
            <w:tcW w:w="14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29,296</w:t>
            </w:r>
          </w:p>
        </w:tc>
      </w:tr>
      <w:tr>
        <w:trPr>
          <w:trHeight w:val="188"/>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(Mcf/d)</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91,094</w:t>
            </w:r>
          </w:p>
        </w:tc>
        <w:tc>
          <w:tcPr>
            <w:tcW w:w="1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112,609</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93,954</w:t>
            </w:r>
          </w:p>
        </w:tc>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115,738</w:t>
            </w:r>
          </w:p>
        </w:tc>
      </w:tr>
    </w:tbl>
    <w:p>
      <w:pPr>
        <w:spacing w:after="0" w:line="127" w:lineRule="exact"/>
        <w:rPr>
          <w:sz w:val="20"/>
          <w:szCs w:val="20"/>
          <w:color w:val="auto"/>
        </w:rPr>
      </w:pPr>
    </w:p>
    <w:p>
      <w:pPr>
        <w:ind w:left="260" w:right="20" w:hanging="252"/>
        <w:spacing w:after="0" w:line="301" w:lineRule="auto"/>
        <w:tabs>
          <w:tab w:leader="none" w:pos="3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table shows production on a boe basis in which natural gas is converted to an equivalent barrel of oil based on a 6:1 energy equivalent ratio. This ratio is not reflective of the price ratio between the two products.</w:t>
      </w:r>
    </w:p>
    <w:p>
      <w:pPr>
        <w:spacing w:after="0" w:line="1" w:lineRule="exact"/>
        <w:rPr>
          <w:rFonts w:ascii="Times New Roman" w:cs="Times New Roman" w:eastAsia="Times New Roman" w:hAnsi="Times New Roman"/>
          <w:sz w:val="14"/>
          <w:szCs w:val="14"/>
          <w:color w:val="auto"/>
        </w:rPr>
      </w:pPr>
    </w:p>
    <w:p>
      <w:pPr>
        <w:ind w:left="260" w:hanging="252"/>
        <w:spacing w:after="0" w:line="302" w:lineRule="auto"/>
        <w:tabs>
          <w:tab w:leader="none" w:pos="34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sales volumes from the North Sea for the second quarters of 2024 and 2023 were 37,491 boe/d and 40,099 boe/d, respectively, and 36,285 boe/d and 43,347 boe/d for the first six months of 2024 and 2023, respectively. Sales volumes may vary from production volumes as a result of the timing of liftings.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i w:val="1"/>
          <w:iCs w:val="1"/>
          <w:color w:val="auto"/>
        </w:rPr>
        <w:t>Pricing</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average selling prices by country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120" w:type="dxa"/>
            <w:vAlign w:val="bottom"/>
            <w:gridSpan w:val="5"/>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60" w:type="dxa"/>
            <w:vAlign w:val="bottom"/>
            <w:gridSpan w:val="5"/>
          </w:tcPr>
          <w:p>
            <w:pPr>
              <w:jc w:val="center"/>
              <w:ind w:left="49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540" w:type="dxa"/>
            <w:vAlign w:val="bottom"/>
          </w:tcPr>
          <w:p>
            <w:pPr>
              <w:spacing w:after="0"/>
              <w:rPr>
                <w:sz w:val="13"/>
                <w:szCs w:val="13"/>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260" w:type="dxa"/>
            <w:vAlign w:val="bottom"/>
          </w:tcPr>
          <w:p>
            <w:pPr>
              <w:spacing w:after="0"/>
              <w:rPr>
                <w:sz w:val="13"/>
                <w:szCs w:val="13"/>
                <w:color w:val="auto"/>
              </w:rPr>
            </w:pPr>
          </w:p>
        </w:tc>
        <w:tc>
          <w:tcPr>
            <w:tcW w:w="9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32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6"/>
                <w:szCs w:val="16"/>
                <w:b w:val="1"/>
                <w:bCs w:val="1"/>
                <w:color w:val="auto"/>
              </w:rPr>
              <w:t>Increase</w:t>
            </w:r>
          </w:p>
        </w:tc>
        <w:tc>
          <w:tcPr>
            <w:tcW w:w="320" w:type="dxa"/>
            <w:vAlign w:val="bottom"/>
          </w:tcPr>
          <w:p>
            <w:pPr>
              <w:spacing w:after="0"/>
              <w:rPr>
                <w:sz w:val="13"/>
                <w:szCs w:val="13"/>
                <w:color w:val="auto"/>
              </w:rPr>
            </w:pPr>
          </w:p>
        </w:tc>
        <w:tc>
          <w:tcPr>
            <w:tcW w:w="860" w:type="dxa"/>
            <w:vAlign w:val="bottom"/>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4"/>
        </w:trPr>
        <w:tc>
          <w:tcPr>
            <w:tcW w:w="35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(Decrease)</w:t>
            </w:r>
          </w:p>
        </w:tc>
        <w:tc>
          <w:tcPr>
            <w:tcW w:w="3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Oil Price – Per barrel</w:t>
            </w:r>
          </w:p>
        </w:tc>
        <w:tc>
          <w:tcPr>
            <w:tcW w:w="7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80.54</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9%</w:t>
            </w:r>
          </w:p>
        </w:tc>
        <w:tc>
          <w:tcPr>
            <w:tcW w:w="1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79.35</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74.56</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Egypt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84.30</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78.48</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84.62</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3"/>
              </w:rPr>
              <w:t>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83.77</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80.51</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82.28</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3"/>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77.37</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Natural Gas Price – Per Mcf</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0.31</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(75)%</w:t>
            </w:r>
          </w:p>
        </w:tc>
        <w:tc>
          <w:tcPr>
            <w:tcW w:w="1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0.83</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(52)%</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Egypt</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10.61</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14.47</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Average NGL Price – Per barrel</w:t>
            </w: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5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760" w:type="dxa"/>
            <w:vAlign w:val="bottom"/>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21.22</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22.96</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0" w:type="dxa"/>
            <w:vAlign w:val="bottom"/>
          </w:tcPr>
          <w:p>
            <w:pPr>
              <w:spacing w:after="0"/>
              <w:rPr>
                <w:sz w:val="1"/>
                <w:szCs w:val="1"/>
                <w:color w:val="auto"/>
              </w:rPr>
            </w:pPr>
          </w:p>
        </w:tc>
      </w:tr>
      <w:tr>
        <w:trPr>
          <w:trHeight w:val="219"/>
        </w:trPr>
        <w:tc>
          <w:tcPr>
            <w:tcW w:w="3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North Sea</w:t>
            </w:r>
          </w:p>
        </w:tc>
        <w:tc>
          <w:tcPr>
            <w:tcW w:w="7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43.43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0" w:type="dxa"/>
            <w:vAlign w:val="bottom"/>
          </w:tcPr>
          <w:p>
            <w:pPr>
              <w:spacing w:after="0"/>
              <w:rPr>
                <w:sz w:val="1"/>
                <w:szCs w:val="1"/>
                <w:color w:val="auto"/>
              </w:rPr>
            </w:pPr>
          </w:p>
        </w:tc>
      </w:tr>
      <w:tr>
        <w:trPr>
          <w:trHeight w:val="210"/>
        </w:trPr>
        <w:tc>
          <w:tcPr>
            <w:tcW w:w="3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w:t>
            </w:r>
          </w:p>
        </w:tc>
        <w:tc>
          <w:tcPr>
            <w:tcW w:w="7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21.68</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23.58</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0" w:type="dxa"/>
            <w:vAlign w:val="bottom"/>
          </w:tcPr>
          <w:p>
            <w:pPr>
              <w:spacing w:after="0"/>
              <w:rPr>
                <w:sz w:val="1"/>
                <w:szCs w:val="1"/>
                <w:color w:val="auto"/>
              </w:rPr>
            </w:pPr>
          </w:p>
        </w:tc>
      </w:tr>
    </w:tbl>
    <w:p>
      <w:pPr>
        <w:spacing w:after="0" w:line="2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Second-Quarter 2024 compared to Second-Quarter 2023</w:t>
      </w:r>
    </w:p>
    <w:p>
      <w:pPr>
        <w:spacing w:after="0" w:line="185"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Crude Oil </w:t>
      </w:r>
      <w:r>
        <w:rPr>
          <w:rFonts w:ascii="Times New Roman" w:cs="Times New Roman" w:eastAsia="Times New Roman" w:hAnsi="Times New Roman"/>
          <w:sz w:val="18"/>
          <w:szCs w:val="18"/>
          <w:color w:val="auto"/>
        </w:rPr>
        <w:t>Crude oil revenues for the second quarter of 2024 totaled $1.9 billion, a $542 million increase from the comparative 2023 quarter. A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 higher average daily production increased second-quarter 2024 oil revenues by $437 million compared to the second quarter of 2023, while an 8 percent increase in average realized prices increased oil revenues by $105 million. Crude oil revenues accounted for 87 percent of total oil and gas production revenues and 54 percent of worldwide production in the second quarter of 2024. Crude oil prices realized in the second quarter of 2024 averaged $82.28 per barrel, compared with $76.38 per barrel in the comparative prior-year quarter.</w:t>
      </w:r>
    </w:p>
    <w:p>
      <w:pPr>
        <w:spacing w:after="0" w:line="14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Company’s worldwide oil production increased 54.8 Mb/d to 253.6 Mb/d during the second quarter of 2024 from the comparative prior-year period, primarily a result of the Callon acquisition coupled with increased drilling activity in the Permian Basin, offset by natural production decline across all assets.</w:t>
      </w:r>
    </w:p>
    <w:p>
      <w:pPr>
        <w:spacing w:after="0" w:line="14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Natural Gas </w:t>
      </w:r>
      <w:r>
        <w:rPr>
          <w:rFonts w:ascii="Times New Roman" w:cs="Times New Roman" w:eastAsia="Times New Roman" w:hAnsi="Times New Roman"/>
          <w:sz w:val="18"/>
          <w:szCs w:val="18"/>
          <w:color w:val="auto"/>
        </w:rPr>
        <w:t>Natural gas revenues for the second quarter of 2024 totaled $135 million, a $45 million decrease from the comparative 2023 quarter.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 percent decrease in average realized prices decreased second-quarter 2024 natural gas revenues by $46 million compared to the second quarter of 2023, while 1 percent higher average daily production increased revenues by $1 million. Natural gas revenues accounted for 6 percent of total oil and gas production revenues and 29 percent of worldwide production during the second quarter of 2024.</w:t>
      </w:r>
    </w:p>
    <w:p>
      <w:pPr>
        <w:spacing w:after="0" w:line="14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worldwide natural gas production increased 10.8 MMcf/d to 835.6 MMcf/d during the second quarter of 2024 from the comparative prior-year period, primarily a result of the Callon acquisition coupled with increased drilling activity and recompletions in the Permian Basin. These increases were offset by natural production decline across all assets, reduced gas-focused activity in Egypt, curtailment of volumes at Alpine High in response to extreme Waha basis differentials, and the sale of non-core assets in the U.S.</w:t>
      </w:r>
    </w:p>
    <w:p>
      <w:pPr>
        <w:spacing w:after="0" w:line="13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NGL </w:t>
      </w:r>
      <w:r>
        <w:rPr>
          <w:rFonts w:ascii="Times New Roman" w:cs="Times New Roman" w:eastAsia="Times New Roman" w:hAnsi="Times New Roman"/>
          <w:sz w:val="18"/>
          <w:szCs w:val="18"/>
          <w:color w:val="auto"/>
        </w:rPr>
        <w:t>NGL revenues for the second quarter of 2024 totaled $159 million, a $52 million increase from the comparative 2023 quarter. A 16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average realized prices increased second-quarter 2024 NGL revenues by $17 million compared to the second quarter of 2023, while 29 percent higher average daily production increased revenues by $35 million. NGL revenues accounted for 7 percent of total oil and gas production revenues and 17 percent of worldwide production during the second quarter of 2024.</w:t>
      </w:r>
    </w:p>
    <w:p>
      <w:pPr>
        <w:spacing w:after="0" w:line="15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Company’s worldwide NGL production increased 17.9 Mb/d to 80.5 Mb/d during the second quarter of 2024 from the comparative prior-year period, primarily a result of the Callon acquisition coupled with increased drilling activity in the Permian Basin, offset by natural production decline in the U.S. and the North Sea.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i w:val="1"/>
          <w:iCs w:val="1"/>
          <w:color w:val="auto"/>
        </w:rPr>
        <w:t>Year-to-Date 2024 compared to Year-to-Date 2023</w:t>
      </w:r>
    </w:p>
    <w:p>
      <w:pPr>
        <w:spacing w:after="0" w:line="198"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Crude Oil </w:t>
      </w:r>
      <w:r>
        <w:rPr>
          <w:rFonts w:ascii="Times New Roman" w:cs="Times New Roman" w:eastAsia="Times New Roman" w:hAnsi="Times New Roman"/>
          <w:sz w:val="18"/>
          <w:szCs w:val="18"/>
          <w:color w:val="auto"/>
        </w:rPr>
        <w:t>Crude oil revenues for the first six months of 2024 totaled $3.3 billion, a $577 million increase from the comparative 2023 period. A 15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 higher average daily production increased oil revenues for the 2024 period by $427 million compared to the prior-year period, while a 5 percent increase in average realized prices increased oil revenues by $150 million compared to the prior-year period. Crude oil revenues accounted for 84 percent of total oil and gas production revenues and 53 percent of worldwide production for the first six months of 2024. Crude oil prices realized during the first six months of 2024 averaged $81.57 per barrel, compared to $77.37 per barrel in the comparative prior-year period.</w:t>
      </w:r>
    </w:p>
    <w:p>
      <w:pPr>
        <w:spacing w:after="0" w:line="14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Company’s worldwide oil production increased 28.9 Mb/d to 226.9 Mb/d in the first six months of 2024 compared to the prior-year period, primarily a result of the Callon acquisition coupled with increased drilling activity in the Permian Basin, offset by natural production decline across all assets.</w:t>
      </w:r>
    </w:p>
    <w:p>
      <w:pPr>
        <w:spacing w:after="0" w:line="13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Natural Gas </w:t>
      </w:r>
      <w:r>
        <w:rPr>
          <w:rFonts w:ascii="Times New Roman" w:cs="Times New Roman" w:eastAsia="Times New Roman" w:hAnsi="Times New Roman"/>
          <w:sz w:val="18"/>
          <w:szCs w:val="18"/>
          <w:color w:val="auto"/>
        </w:rPr>
        <w:t>Natural gas revenues for the first six months of 2024 totaled $311 million, a $111 million decrease from the comparative 2023 period.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25 percent decrease in average realized prices decreased natural gas revenues for the 2024 period by $104 million compared to the prior-year period, while 2 percent lower average daily production decreased revenues by $7 million compared to the prior-year period. Natural gas revenues accounted for 8 percent of total oil and gas production revenues and 31 percent of worldwide production for the first six months of 2024.</w:t>
      </w:r>
    </w:p>
    <w:p>
      <w:pPr>
        <w:spacing w:after="0" w:line="15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worldwide natural gas production decreased 20.4 MMcf/d to 811.1 MMcf/d in the first six months of 2024 compared to the prior-year period, primarily a result of natural production decline across all assets, reduced gas-focused activity in Egypt, curtailment of volumes at Alpine High in response to extreme Waha basis differentials, and the sale of non-core assets in the U.S. These decreases were partially offset by the Callon acquisition and increased drilling activity in the Permian Basin.</w:t>
      </w:r>
    </w:p>
    <w:p>
      <w:pPr>
        <w:spacing w:after="0" w:line="13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NGL </w:t>
      </w:r>
      <w:r>
        <w:rPr>
          <w:rFonts w:ascii="Times New Roman" w:cs="Times New Roman" w:eastAsia="Times New Roman" w:hAnsi="Times New Roman"/>
          <w:sz w:val="18"/>
          <w:szCs w:val="18"/>
          <w:color w:val="auto"/>
        </w:rPr>
        <w:t>NGL revenues for the first six months of 2024 totaled $299 million, a $62 million increase from the comparative 2023 period. A 9 percent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in average realized prices increased NGL revenues for the 2024 period by $22 million compared to the prior-year period, while 15 percent higher average daily production increased revenues by $40 million compared to the prior-year period. NGL revenues accounted for 8 percent of total oil and gas production revenues and 16 percent of worldwide production for the first six months of 2024.</w:t>
      </w:r>
    </w:p>
    <w:p>
      <w:pPr>
        <w:spacing w:after="0" w:line="14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Company’s worldwide NGL production increased 9.2 Mb/d to 69.2 Mb/d in the first six months of 2024 compared to the prior-year period, primarily a result of the Callon acquisition coupled with increased drilling activity in the Permian Basin, offset by natural production decline in the U.S. and the North Sea.</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Purchased Oil and Gas Sales</w:t>
      </w:r>
    </w:p>
    <w:p>
      <w:pPr>
        <w:spacing w:after="0" w:line="18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Purchased oil and gas sales represent volumes primarily attributable to U.S. domestic oil and gas purchases that were sold by the Company to fulfill oil and natural gas takeaway obligations and delivery commitments. Sales related to these purchased volumes totaled $342 million and $144 million during the second quarters of 2024 and 2023, respectively, and $545 million and $383 million during the first six months of 2024 and 2023, respectively. Purchased oil and gas sales were offset by associated purchase costs of $210 million and $131 million during the second quarters of 2024 and 2023, respectively, and $373 million and $347 million during the first six months of 2024 and 2023, respectively. Gross purchased oil and gas sales values were higher in the second quarter and the first six months of 2024, primarily driven by activity associated with the Callon acquisition as compared to the second quarter and the first six months of 2023.</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39" w:name="page40"/>
    <w:bookmarkEnd w:id="39"/>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operating expenses were as follows and include costs attributable to a noncontrolling interest in Egypt:</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20" w:type="dxa"/>
            <w:vAlign w:val="bottom"/>
            <w:gridSpan w:val="4"/>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8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4"/>
        </w:trPr>
        <w:tc>
          <w:tcPr>
            <w:tcW w:w="48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10"/>
        </w:trPr>
        <w:tc>
          <w:tcPr>
            <w:tcW w:w="486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48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
        </w:trPr>
        <w:tc>
          <w:tcPr>
            <w:tcW w:w="48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operating expenses</w:t>
            </w: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Gathering, processing, and transmission</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Purchased oil and gas costs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Taxes other than income</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Exploration</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reorganization, and separation</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Oil and gas property and equipment</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582</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r>
      <w:tr>
        <w:trPr>
          <w:trHeight w:val="213"/>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Gathering, processing, and transmission assets</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assets</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 retirement obligation accretion</w:t>
            </w: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Impairments</w:t>
            </w:r>
          </w:p>
        </w:tc>
        <w:tc>
          <w:tcPr>
            <w:tcW w:w="10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Financing costs, net</w:t>
            </w: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37"/>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3,320</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Lease Operating Expenses (LOE)</w:t>
      </w:r>
    </w:p>
    <w:p>
      <w:pPr>
        <w:spacing w:after="0" w:line="18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LOE increased $99 million and $116 million compared to the second quarter and the first six months of 2023, respectively. On a per-unit basis, LOE increased 7 percent in both the second quarter and the first six months of 2024, when compared to the second quarter and the first six months of 2023. During the second quarter and first six months of 2024, higher operating and labor costs as well as higher workover activity, primarily from the Callon acquisition, drove the increase in absolute LOE costs compared to the same prior-year periods.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Gathering, Processing, and Transmission (GPT)</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GPT expenses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8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8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4"/>
        </w:trPr>
        <w:tc>
          <w:tcPr>
            <w:tcW w:w="48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
        </w:trPr>
        <w:tc>
          <w:tcPr>
            <w:tcW w:w="4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Third-party processing and transmission costs</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Midstream service costs – Kinetik</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37"/>
        </w:trPr>
        <w:tc>
          <w:tcPr>
            <w:tcW w:w="486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gathering, processing, and transmission</w:t>
            </w: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GPT costs increased $43 million and $49 million in the second quarter and the first six months of 2024, respectively, when compared to the second quarter and the first six months of 2023, primarily driven by an increase in natural gas production volumes in the U.S. when compared to the prior-year periods.</w:t>
      </w:r>
    </w:p>
    <w:p>
      <w:pPr>
        <w:spacing w:after="0" w:line="13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Purchased Oil and Gas Costs</w:t>
      </w:r>
    </w:p>
    <w:p>
      <w:pPr>
        <w:spacing w:after="0" w:line="18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Purchased oil and gas costs increased $79 million and $26 million in the second quarter and the first six months of 2024, respectively, when compared to the second quarter and the first six months of 2023. The increase in the second quarter and the first six months of 2024 compared to same prior year periods is primarily driven by activity associated with the Callon acquisition. With widening margins under third-party gas agreements, purchased oil and gas costs were more than offset by associated sales to fulfill oil and natural gas takeaway obligations and delivery commitments totaling $342 million and $545 million in the second quarter and the first six months of 2024, respectively, as discussed above.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i w:val="1"/>
          <w:iCs w:val="1"/>
          <w:color w:val="auto"/>
        </w:rPr>
        <w:t>Taxes Other Than Income</w:t>
      </w:r>
    </w:p>
    <w:p>
      <w:pPr>
        <w:spacing w:after="0" w:line="200"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Taxes other than income increased $28 million and $33 million from the second quarter and the first six months of 2023, respectively, primarily from higher severance taxes driven by increased production volumes and higher oil prices in the U.S. compared to the prior-year periods.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Exploration Expenses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exploration expenses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8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8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4"/>
        </w:trPr>
        <w:tc>
          <w:tcPr>
            <w:tcW w:w="486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09"/>
        </w:trPr>
        <w:tc>
          <w:tcPr>
            <w:tcW w:w="4860" w:type="dxa"/>
            <w:vAlign w:val="bottom"/>
          </w:tcPr>
          <w:p>
            <w:pPr>
              <w:spacing w:after="0"/>
              <w:rPr>
                <w:sz w:val="18"/>
                <w:szCs w:val="18"/>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48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
        </w:trPr>
        <w:tc>
          <w:tcPr>
            <w:tcW w:w="48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Unproved leasehold impairments</w:t>
            </w:r>
          </w:p>
        </w:tc>
        <w:tc>
          <w:tcPr>
            <w:tcW w:w="110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Dry hole expense</w:t>
            </w:r>
          </w:p>
        </w:tc>
        <w:tc>
          <w:tcPr>
            <w:tcW w:w="1100" w:type="dxa"/>
            <w:vAlign w:val="bottom"/>
          </w:tcPr>
          <w:p>
            <w:pPr>
              <w:spacing w:after="0"/>
              <w:rPr>
                <w:sz w:val="18"/>
                <w:szCs w:val="18"/>
                <w:color w:val="auto"/>
              </w:rPr>
            </w:pPr>
          </w:p>
        </w:tc>
        <w:tc>
          <w:tcPr>
            <w:tcW w:w="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Geological and geophysical expense</w:t>
            </w:r>
          </w:p>
        </w:tc>
        <w:tc>
          <w:tcPr>
            <w:tcW w:w="1100" w:type="dxa"/>
            <w:vAlign w:val="bottom"/>
            <w:shd w:val="clear" w:color="auto" w:fill="CCEEFF"/>
          </w:tcPr>
          <w:p>
            <w:pPr>
              <w:spacing w:after="0"/>
              <w:rPr>
                <w:sz w:val="19"/>
                <w:szCs w:val="19"/>
                <w:color w:val="auto"/>
              </w:rPr>
            </w:pPr>
          </w:p>
        </w:tc>
        <w:tc>
          <w:tcPr>
            <w:tcW w:w="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3"/>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Exploration overhead and other</w:t>
            </w:r>
          </w:p>
        </w:tc>
        <w:tc>
          <w:tcPr>
            <w:tcW w:w="1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7"/>
        </w:trPr>
        <w:tc>
          <w:tcPr>
            <w:tcW w:w="48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Exploration</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Exploration expenses increased $28 million and $124 million from the second quarter and the first six months of 2023, respectively. The increase in exploration expenses for the second quarter and the six months of 2024 compared to the second quarter and six months of 2023 was primarily the result of dry hole expense associated with the completion of an initial drilling campaign in Alaska where two wells were unable to reach target objectives in the allotted seasonal time window.</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 (G&amp;A) Expenses</w:t>
      </w:r>
    </w:p>
    <w:p>
      <w:pPr>
        <w:spacing w:after="0" w:line="187"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G&amp;A expenses increased $13 million and $41 million compared to the second quarter and the first six months of 2023, respectively. The increase in G&amp;A expenses for the second quarter of 2024 compared to the second quarter of 2023 was primarily driven by the Callon acquisition and higher overall labor costs across the Company. The increase in G&amp;A expenses for the first six months of 2024 compared to the first six months of 2023 was primarily driven by higher overall labor costs across the Company and higher cash-based stock compensation expense resulting from changes in the Company’s stock price.</w:t>
      </w:r>
    </w:p>
    <w:p>
      <w:pPr>
        <w:spacing w:after="0" w:line="1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Transaction, Reorganization, and Separation (TRS) Costs</w:t>
      </w:r>
    </w:p>
    <w:p>
      <w:pPr>
        <w:spacing w:after="0" w:line="200"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TRS costs increased $113 million and $136 million from the second quarter and the first six months of 2023, respectively. Higher TRS costs during the second quarter and the first six months of 2024 were primarily a result of ongoing transaction costs related to the Callon acquisition coupled with separation costs in the North Sea. TRS costs incurred in the first six months of 2024 comprised $128 million associated with the Callon acquisition, including $62 million of separation costs and $66 million of transaction and integration costs.</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Depreciation, Depletion, and Amortization (DD&amp;A)</w:t>
      </w:r>
    </w:p>
    <w:p>
      <w:pPr>
        <w:spacing w:after="0" w:line="18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Total DD&amp;A expenses increased $221 million and $319 million from the second quarter and the first six months of 2023, respectively, primarily driven by DD&amp;A on the Company’s oil and gas properties. The Company’s DD&amp;A rate on its oil and gas properties increased $3.69 per boe and $3.35 per boe from the second quarter and the first six months of 2023, respectively. The increase in DD&amp;A on an absolute and per boe basis were driven by negative price-related reserve revisions in prior periods and impacts resulting from the Callon acquisition during the second quarter of 2024.</w:t>
      </w:r>
    </w:p>
    <w:p>
      <w:pPr>
        <w:spacing w:after="0" w:line="15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Impairments</w:t>
      </w:r>
    </w:p>
    <w:p>
      <w:pPr>
        <w:spacing w:after="0" w:line="187" w:lineRule="exact"/>
        <w:rPr>
          <w:sz w:val="20"/>
          <w:szCs w:val="20"/>
          <w:color w:val="auto"/>
        </w:rPr>
      </w:pPr>
    </w:p>
    <w:p>
      <w:pPr>
        <w:jc w:val="both"/>
        <w:ind w:right="260" w:firstLine="445"/>
        <w:spacing w:after="0" w:line="266" w:lineRule="auto"/>
        <w:rPr>
          <w:sz w:val="20"/>
          <w:szCs w:val="20"/>
          <w:color w:val="auto"/>
        </w:rPr>
      </w:pPr>
      <w:r>
        <w:rPr>
          <w:rFonts w:ascii="Times New Roman" w:cs="Times New Roman" w:eastAsia="Times New Roman" w:hAnsi="Times New Roman"/>
          <w:sz w:val="18"/>
          <w:szCs w:val="18"/>
          <w:color w:val="auto"/>
        </w:rPr>
        <w:t>During the three and six months ended June 30, 2023, the Company recorded $46 million of impairments in connection with valuations of drilling and operations equipment inventory upon the Company’s decision to suspend drilling operations in the North Sea. There were no impairments recorded during the three and six months ended June 30, 2024.</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8"/>
          <w:szCs w:val="18"/>
          <w:i w:val="1"/>
          <w:iCs w:val="1"/>
          <w:color w:val="auto"/>
        </w:rPr>
        <w:t>Financing Costs, Net</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Company’s Financing costs were as follows: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2680" w:type="dxa"/>
            <w:vAlign w:val="bottom"/>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For the Quarter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8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For the Six Months Ended</w:t>
            </w:r>
          </w:p>
        </w:tc>
      </w:tr>
      <w:tr>
        <w:trPr>
          <w:trHeight w:val="214"/>
        </w:trPr>
        <w:tc>
          <w:tcPr>
            <w:tcW w:w="486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10"/>
        </w:trPr>
        <w:tc>
          <w:tcPr>
            <w:tcW w:w="486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4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
        </w:trPr>
        <w:tc>
          <w:tcPr>
            <w:tcW w:w="4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interest</w:t>
            </w: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3"/>
        </w:trPr>
        <w:tc>
          <w:tcPr>
            <w:tcW w:w="4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extinguishment of debt</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18"/>
                <w:szCs w:val="18"/>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6"/>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4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Financing costs, net</w:t>
            </w: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2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w:t>
            </w:r>
          </w:p>
        </w:tc>
      </w:tr>
      <w:tr>
        <w:trPr>
          <w:trHeight w:val="20"/>
        </w:trPr>
        <w:tc>
          <w:tcPr>
            <w:tcW w:w="4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Net financing costs increased $18 million and $22 million from the second quarter and the first six months of 2023, respectively. The increase in costs during the second quarter and the first six months of 2024 was primarily due to higher interest expense from higher average long-term debt balances compared to the second quarter and the first six months of 2023.</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estimates its annual effective income tax rate in recording its quarterly provision for income taxes in the various jurisdictions in which the Company operates. Non-cash impairments on the carrying value of the Company’s oil and gas properties, gains and losses on the sale of assets, statutory tax rate changes, and other significant or unusual items are recognized as discrete items in the quarter in which they occur.</w:t>
      </w:r>
    </w:p>
    <w:p>
      <w:pPr>
        <w:spacing w:after="0" w:line="14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Company’s effective income tax rate for the three and six months ended June 30, 2024 differed from the U.S. federal statutory income tax rate of 21 percent due to taxes on foreign operations. During the second quarter of 2023, the Company’s effective income tax rate differed from the U.S. federal statutory income tax rate of 21 percent due to taxes on foreign operations and a decrease in the amount of valuation allowance against its U.S. deferred tax assets. The Company’s effective income tax rate for the six months ended June 30, 2023 differed from the U.S. federal statutory income tax rate of 21 percent due to taxes on foreign operations, a deferred tax expense related to the remeasurement of taxes in the U.K. as a result of the enactment of Finance Act 2023, and a decrease in the amount of valuation allowance against its U.S. deferred tax assets.</w:t>
      </w:r>
    </w:p>
    <w:p>
      <w:pPr>
        <w:spacing w:after="0" w:line="14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 December 2021, the Organisation for Economic Co-operation and Development issued Pillar Two Model Rules introducing a new global minimum tax of 15 percent on a country-by-country basis, with certain aspects effective in certain jurisdictions on January 1, 2024. Although the Company continues to monitor enacted legislation to implement these rules in countries where the Company could be impacted, APA does not expect that the Pillar Two framework will have a material impact on its consolidated financial statements.</w:t>
      </w:r>
    </w:p>
    <w:p>
      <w:pPr>
        <w:spacing w:after="0" w:line="13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and its subsidiaries are subject to U.S. federal income tax as well as income or capital taxes in various states and foreign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tax reserves are related to tax years that may be subject to examination by the relevant taxing authority.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Resources and Liquidity</w:t>
      </w:r>
    </w:p>
    <w:p>
      <w:pPr>
        <w:spacing w:after="0" w:line="20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Operating cash flows are the Company’s primary source of liquidity. The Company’s short-term and long-term operating cash flows are impacted by highly volatile commodity prices, as well as production costs and sales volumes. Significant changes in commodity prices impact the Company’s revenues, earnings, and cash flows. These changes potentially impact the Company’s liquidity if costs do not trend with sustained decreases in commodity prices. Historically, costs have trended with commodity prices, albeit on a lag. Sales volumes also impact cash flows; however, they have a less volatile impact in the short term.</w:t>
      </w:r>
    </w:p>
    <w:p>
      <w:pPr>
        <w:spacing w:after="0" w:line="14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Company’s long-term operating cash flows are dependent on reserve replacement and the level of costs required for ongoing operations. Cash investments are required to fund activity necessary to offset the inherent declines in production and proved crude oil and natural gas reserves. Future success in maintaining and growing reserves and production is highly dependent on the success of the Company’s drilling program and its ability to add reserves economically. Changes in commodity prices also impact estimated quantities of proved reserves.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42" w:name="page43"/>
    <w:bookmarkEnd w:id="42"/>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Following the completion of the Callon acquisition, the Company revised its full-year 2024 estimated upstream capital investment to approximately $2.7 billion and remains committed to its capital return framework for equity holders to participate more directly and materially in cash returns through</w:t>
      </w:r>
    </w:p>
    <w:p>
      <w:pPr>
        <w:spacing w:after="0"/>
        <w:rPr>
          <w:sz w:val="20"/>
          <w:szCs w:val="20"/>
          <w:color w:val="auto"/>
        </w:rPr>
      </w:pPr>
      <w:r>
        <w:rPr>
          <w:rFonts w:ascii="Times New Roman" w:cs="Times New Roman" w:eastAsia="Times New Roman" w:hAnsi="Times New Roman"/>
          <w:sz w:val="18"/>
          <w:szCs w:val="18"/>
          <w:color w:val="auto"/>
        </w:rPr>
        <w:t>dividends and share repurchases</w:t>
      </w:r>
      <w:r>
        <w:rPr>
          <w:rFonts w:ascii="Times New Roman" w:cs="Times New Roman" w:eastAsia="Times New Roman" w:hAnsi="Times New Roman"/>
          <w:sz w:val="21"/>
          <w:szCs w:val="21"/>
          <w:color w:val="auto"/>
        </w:rPr>
        <w:t>.</w:t>
      </w:r>
    </w:p>
    <w:p>
      <w:pPr>
        <w:spacing w:after="0" w:line="18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Company believes its available liquidity and capital resource alternatives, combined with proactive measures to adjust its capital budget to reflect volatile commodity prices and anticipated operating cash flows, will be adequate to fund short-term and long-term operations, including the Company’s capital development program, repayment of debt maturities, payment of dividends, share buy-back activity, and amounts that may ultimately be paid in connection with commitments and contingencies.</w:t>
      </w:r>
    </w:p>
    <w:p>
      <w:pPr>
        <w:spacing w:after="0" w:line="139"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 Company may also elect to utilize available cash on hand, committed borrowing capacity, access to both debt and equity capital markets, or proceeds from the sale of nonstrategic assets for all other liquidity and capital resource needs.</w:t>
      </w:r>
    </w:p>
    <w:p>
      <w:pPr>
        <w:spacing w:after="0" w:line="135"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For additional information, refer to Part I, Items 1 and 2—Business and Properties, and Item 1A—Risk Factors, in the Company’s Annual Report on Form 10-K for the fiscal year ended December 31, 2023.</w:t>
      </w:r>
    </w:p>
    <w:p>
      <w:pPr>
        <w:spacing w:after="0" w:line="1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Cash</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the sources and uses of the Company’s cash and cash equivalents for the periods presented:</w:t>
      </w:r>
    </w:p>
    <w:p>
      <w:pPr>
        <w:spacing w:after="0" w:line="50"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For the Six Months Ended</w:t>
      </w:r>
    </w:p>
    <w:p>
      <w:pPr>
        <w:jc w:val="center"/>
        <w:ind w:left="806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08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Sources of Cash and Cash Equivalents:</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commercial paper and revolving credit facilities, net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term loan facility</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asset divestitures</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3"/>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Proceeds from sale of Kinetik Shares</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Sources of Cash and Cash Equivalents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1,559</w:t>
            </w:r>
          </w:p>
        </w:tc>
      </w:tr>
      <w:tr>
        <w:trPr>
          <w:trHeight w:val="19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Uses of Cash and Cash Equivalents:</w:t>
            </w:r>
          </w:p>
        </w:tc>
        <w:tc>
          <w:tcPr>
            <w:tcW w:w="10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Additions to upstream oil and gas property</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1,119</w:t>
            </w: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Leasehold and property acquisitions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 on Callon Credit Agreement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on fixed-rate debt</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 to APA common stockholders</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3"/>
        </w:trPr>
        <w:tc>
          <w:tcPr>
            <w:tcW w:w="80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219"/>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activity, net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r>
      <w:tr>
        <w:trPr>
          <w:trHeight w:val="213"/>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net</w:t>
            </w:r>
          </w:p>
        </w:tc>
        <w:tc>
          <w:tcPr>
            <w:tcW w:w="10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Uses of Cash and Cash Equivalents</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1,662</w:t>
            </w:r>
          </w:p>
        </w:tc>
      </w:tr>
      <w:tr>
        <w:trPr>
          <w:trHeight w:val="207"/>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3"/>
        </w:trPr>
        <w:tc>
          <w:tcPr>
            <w:tcW w:w="80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Sources of Cash and Cash Equivalents</w:t>
      </w:r>
    </w:p>
    <w:p>
      <w:pPr>
        <w:spacing w:after="0" w:line="18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Cash Provided by Operating Activities </w:t>
      </w:r>
      <w:r>
        <w:rPr>
          <w:rFonts w:ascii="Times New Roman" w:cs="Times New Roman" w:eastAsia="Times New Roman" w:hAnsi="Times New Roman"/>
          <w:sz w:val="18"/>
          <w:szCs w:val="18"/>
          <w:color w:val="auto"/>
        </w:rPr>
        <w:t>Operating cash flows are the Company’s primary source of capital and liquidity and are impacted, both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short term and the long term, by volatile commodity prices. The factors that determine operating cash flows are largely the same as those that affect net earnings, with the exception of non-cash expenses such as DD&amp;A, exploratory dry hole expense, asset impairments, asset retirement obligation accretion, and deferred income tax expense.</w:t>
      </w:r>
    </w:p>
    <w:p>
      <w:pPr>
        <w:spacing w:after="0" w:line="155"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during the first six months of 2024 totaled $1.2 billion, down $90 million from the first six months of 2023, primarily the result of timing of working capital items.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For a detailed discussion of commodity prices, production, and operating expenses, refer to “Results of Operations” in this Item 2. For additional detail on the changes in operating assets and liabilities and the non-cash expenses that do not impact net cash provided by operating activities, refer to the Statement of Consolidated Cash Flows in the Consolidated Financial Statements set forth in Part I, Item 1, Financial Statements of this Quarterly Report on Form 10-Q.</w:t>
      </w:r>
    </w:p>
    <w:p>
      <w:pPr>
        <w:sectPr>
          <w:pgSz w:w="11900" w:h="16838" w:orient="portrait"/>
          <w:cols w:equalWidth="0" w:num="1">
            <w:col w:w="11240"/>
          </w:cols>
          <w:pgMar w:left="320" w:top="1066"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type w:val="continuous"/>
        </w:sectPr>
      </w:pPr>
    </w:p>
    <w:bookmarkStart w:id="43" w:name="page44"/>
    <w:bookmarkEnd w:id="43"/>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Proceeds from Commercial Paper and Revolving Credit Facilities, Net </w:t>
      </w:r>
      <w:r>
        <w:rPr>
          <w:rFonts w:ascii="Times New Roman" w:cs="Times New Roman" w:eastAsia="Times New Roman" w:hAnsi="Times New Roman"/>
          <w:sz w:val="18"/>
          <w:szCs w:val="18"/>
          <w:color w:val="auto"/>
        </w:rPr>
        <w:t>As of June 30, 2024, outstanding borrowings under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paper and U.S. dollar denominated syndicated credit facility were $435 million, an increase of $63 million since December 31, 2023. During the six months ended June 30, 2023, the Company had net borrowings of $196 million under the Company’s U.S. dollar denominated syndicated credit facility.</w:t>
      </w:r>
    </w:p>
    <w:p>
      <w:pPr>
        <w:spacing w:after="0" w:line="153"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Proceeds from Term Loan Facility </w:t>
      </w:r>
      <w:r>
        <w:rPr>
          <w:rFonts w:ascii="Times New Roman" w:cs="Times New Roman" w:eastAsia="Times New Roman" w:hAnsi="Times New Roman"/>
          <w:sz w:val="18"/>
          <w:szCs w:val="18"/>
          <w:color w:val="auto"/>
        </w:rPr>
        <w:t>On April 1, 2024, the Company borrowed an aggregate $1.5 billion under a syndicated credit agreement.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were used to refinance certain indebtedness of Callon upon the closing of the Callon acquisition. For additional details of the credit agreement, see “</w:t>
      </w:r>
      <w:r>
        <w:rPr>
          <w:rFonts w:ascii="Times New Roman" w:cs="Times New Roman" w:eastAsia="Times New Roman" w:hAnsi="Times New Roman"/>
          <w:sz w:val="18"/>
          <w:szCs w:val="18"/>
          <w:i w:val="1"/>
          <w:iCs w:val="1"/>
          <w:color w:val="auto"/>
        </w:rPr>
        <w:t>Term Loan Credit Agreement”</w:t>
      </w:r>
      <w:r>
        <w:rPr>
          <w:rFonts w:ascii="Times New Roman" w:cs="Times New Roman" w:eastAsia="Times New Roman" w:hAnsi="Times New Roman"/>
          <w:sz w:val="18"/>
          <w:szCs w:val="18"/>
          <w:color w:val="auto"/>
        </w:rPr>
        <w:t xml:space="preserve"> in the section below under Liquidity. As of June 30, 2024, $1.5 billion remained outstanding under the term loan facility governed by the Term Loan Credit Agreement.</w:t>
      </w:r>
    </w:p>
    <w:p>
      <w:pPr>
        <w:spacing w:after="0" w:line="139"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Proceeds from Asset Divestitures </w:t>
      </w:r>
      <w:r>
        <w:rPr>
          <w:rFonts w:ascii="Times New Roman" w:cs="Times New Roman" w:eastAsia="Times New Roman" w:hAnsi="Times New Roman"/>
          <w:sz w:val="18"/>
          <w:szCs w:val="18"/>
          <w:color w:val="auto"/>
        </w:rPr>
        <w:t>The Company received $729 million and $28 million in proceeds from the divestiture of certain non-core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during the first six months of 2024 and 2023, respectively. For more information regarding the Company’s acquisitions and divestitures, refer to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Acquisitions and Divestitures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Consolidated Financial Statements in Part I, Item 1 of this Quarterly Report on Form 10-Q.</w:t>
      </w:r>
    </w:p>
    <w:p>
      <w:pPr>
        <w:spacing w:after="0" w:line="133"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Proceeds from Sale of Kinetik Shares </w:t>
      </w:r>
      <w:r>
        <w:rPr>
          <w:rFonts w:ascii="Times New Roman" w:cs="Times New Roman" w:eastAsia="Times New Roman" w:hAnsi="Times New Roman"/>
          <w:sz w:val="18"/>
          <w:szCs w:val="18"/>
          <w:color w:val="auto"/>
        </w:rPr>
        <w:t>The Company received $428 million of cash proceeds from the sale of its remaining shares of Kinetik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Common Stock in March 2024. For more information regarding the Company’s equity method interests, refer to </w:t>
      </w:r>
      <w:r>
        <w:rPr>
          <w:rFonts w:ascii="Times New Roman" w:cs="Times New Roman" w:eastAsia="Times New Roman" w:hAnsi="Times New Roman"/>
          <w:sz w:val="18"/>
          <w:szCs w:val="18"/>
          <w:u w:val="single" w:color="auto"/>
          <w:color w:val="0000FF"/>
        </w:rPr>
        <w:t>Note 6—Equity Method Interests</w:t>
      </w:r>
      <w:r>
        <w:rPr>
          <w:rFonts w:ascii="Times New Roman" w:cs="Times New Roman" w:eastAsia="Times New Roman" w:hAnsi="Times New Roman"/>
          <w:sz w:val="18"/>
          <w:szCs w:val="18"/>
          <w:color w:val="auto"/>
        </w:rPr>
        <w:t xml:space="preserve"> in the Notes to Consolidated Financial Statements set forth in Part I, Item 1 of this Quarterly Report on Form 10-Q.</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Uses of Cash and Cash Equivalents</w:t>
      </w:r>
    </w:p>
    <w:p>
      <w:pPr>
        <w:spacing w:after="0" w:line="185" w:lineRule="exact"/>
        <w:rPr>
          <w:sz w:val="20"/>
          <w:szCs w:val="20"/>
          <w:color w:val="auto"/>
        </w:rPr>
      </w:pPr>
    </w:p>
    <w:p>
      <w:pPr>
        <w:jc w:val="both"/>
        <w:ind w:firstLine="44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Additions to Upstream Oil &amp; Gas Property </w:t>
      </w:r>
      <w:r>
        <w:rPr>
          <w:rFonts w:ascii="Times New Roman" w:cs="Times New Roman" w:eastAsia="Times New Roman" w:hAnsi="Times New Roman"/>
          <w:sz w:val="18"/>
          <w:szCs w:val="18"/>
          <w:color w:val="auto"/>
        </w:rPr>
        <w:t>Exploration and development cash expenditures were $1.2 billion and $1.1 billion during the first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2024 and 2023, respectively. The increase in capital investment compared to the prior-year period is reflective of the Company’s acquisition of Callon, which increased the number of drilling rigs being operated in the Permian Basin, partially offset by the Company’s efforts to balance workover activity in Egypt and reduce drilling activity in the North Sea as it continually assesses inventory opportunities across its diverse portfolio. The Company operated an average of approximately 25 drilling rigs during the first six months of 2024, compared to an average of approximately 24 drilling rigs during the first six months of 2023.</w:t>
      </w:r>
    </w:p>
    <w:p>
      <w:pPr>
        <w:spacing w:after="0" w:line="142"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Leasehold and Property Acquisitions </w:t>
      </w:r>
      <w:r>
        <w:rPr>
          <w:rFonts w:ascii="Times New Roman" w:cs="Times New Roman" w:eastAsia="Times New Roman" w:hAnsi="Times New Roman"/>
          <w:sz w:val="18"/>
          <w:szCs w:val="18"/>
          <w:color w:val="auto"/>
        </w:rPr>
        <w:t>During the first six months of 2024 and 2023, in addition to the Callon acquisition, the Company completed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leasehold and property acquisitions, primarily in the Permian Basin, for total cash consideration of $63 million and $10 million, respectively.</w:t>
      </w:r>
    </w:p>
    <w:p>
      <w:pPr>
        <w:spacing w:after="0" w:line="131"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Payments on Callon Credit Agreement </w:t>
      </w:r>
      <w:r>
        <w:rPr>
          <w:rFonts w:ascii="Times New Roman" w:cs="Times New Roman" w:eastAsia="Times New Roman" w:hAnsi="Times New Roman"/>
          <w:sz w:val="18"/>
          <w:szCs w:val="18"/>
          <w:color w:val="auto"/>
        </w:rPr>
        <w:t>During the first six months of 2024, the Company financed Callon’s repayment in full of the $472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under the Callon Credit Agreement upon the Callon acquisition.</w:t>
      </w:r>
    </w:p>
    <w:p>
      <w:pPr>
        <w:spacing w:after="0" w:line="118"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Payments on Fixed-Rate Debt </w:t>
      </w:r>
      <w:r>
        <w:rPr>
          <w:rFonts w:ascii="Times New Roman" w:cs="Times New Roman" w:eastAsia="Times New Roman" w:hAnsi="Times New Roman"/>
          <w:sz w:val="18"/>
          <w:szCs w:val="18"/>
          <w:color w:val="auto"/>
        </w:rPr>
        <w:t>During the first six months of 2024, the Company financed Callon’s repayment pursuant to Callon’s cash tender offers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and redemptions of all senior notes issued under Callon’s indentures for an aggregate cash payment amount of $1.6 billion, reflecting principal amounts, premium to par, and associated fees.</w:t>
      </w:r>
    </w:p>
    <w:p>
      <w:pPr>
        <w:spacing w:after="0" w:line="135"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2023, Apache purchased in the open market and canceled senior notes issued under its indentures in an aggregate principal amount of $74 million for an aggregate purchase price of $65 million in cash. The Company recognized a $9 million gain on these repurchases.</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Company expects that Apache will continue to reduce debt outstanding under its indentures from time to time.</w:t>
      </w:r>
    </w:p>
    <w:p>
      <w:pPr>
        <w:spacing w:after="0" w:line="183"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Dividends Paid to APA Common Stockholders </w:t>
      </w:r>
      <w:r>
        <w:rPr>
          <w:rFonts w:ascii="Times New Roman" w:cs="Times New Roman" w:eastAsia="Times New Roman" w:hAnsi="Times New Roman"/>
          <w:sz w:val="18"/>
          <w:szCs w:val="18"/>
          <w:color w:val="auto"/>
        </w:rPr>
        <w:t>The Company paid $168 million and $155 million during the first six months of 2024 and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for dividends on its common stock.</w:t>
      </w:r>
    </w:p>
    <w:p>
      <w:pPr>
        <w:spacing w:after="0" w:line="118" w:lineRule="exact"/>
        <w:rPr>
          <w:sz w:val="20"/>
          <w:szCs w:val="20"/>
          <w:color w:val="auto"/>
        </w:rPr>
      </w:pPr>
    </w:p>
    <w:p>
      <w:pPr>
        <w:jc w:val="both"/>
        <w:ind w:firstLine="44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Distributions to Noncontrolling Interest </w:t>
      </w:r>
      <w:r>
        <w:rPr>
          <w:rFonts w:ascii="Times New Roman" w:cs="Times New Roman" w:eastAsia="Times New Roman" w:hAnsi="Times New Roman"/>
          <w:sz w:val="18"/>
          <w:szCs w:val="18"/>
          <w:color w:val="auto"/>
        </w:rPr>
        <w:t>Sinopec International Petroleum Exploration and Production Corporation (Sinopec) holds a one-third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minority participation interest in the Company’s oil and gas operations in Egypt. The Company paid $123 million and $100 million during the first six months of 2024 and 2023, respectively, in cash distributions to Sinopec.</w:t>
      </w:r>
    </w:p>
    <w:p>
      <w:pPr>
        <w:spacing w:after="0" w:line="146"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Treasury Stock Activity, net </w:t>
      </w:r>
      <w:r>
        <w:rPr>
          <w:rFonts w:ascii="Times New Roman" w:cs="Times New Roman" w:eastAsia="Times New Roman" w:hAnsi="Times New Roman"/>
          <w:sz w:val="18"/>
          <w:szCs w:val="18"/>
          <w:color w:val="auto"/>
        </w:rPr>
        <w:t>In the first six months of 2024, the Company repurchased 4.5 million shares at an average price of $31.77 per share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aggregate purchase price of approximately $144 million, and as of June 30, 2024, the Company had remaining authorization to repurchase 39.4 million shares. In the first six months of 2023, the Company repurchased 5 million shares at an average price of $37.53 per share and an aggregate purchase price of approximately $188 million.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4" w:right="339" w:bottom="1440" w:gutter="0" w:footer="0" w:header="0"/>
        </w:sectPr>
      </w:pPr>
    </w:p>
    <w:bookmarkStart w:id="44" w:name="page45"/>
    <w:bookmarkEnd w:id="44"/>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a summary of the Company’s key financial indicators: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80" w:type="dxa"/>
            <w:vAlign w:val="bottom"/>
          </w:tcPr>
          <w:p>
            <w:pPr>
              <w:spacing w:after="0"/>
              <w:rPr>
                <w:sz w:val="16"/>
                <w:szCs w:val="16"/>
                <w:color w:val="auto"/>
              </w:rPr>
            </w:pPr>
          </w:p>
        </w:tc>
        <w:tc>
          <w:tcPr>
            <w:tcW w:w="1080" w:type="dxa"/>
            <w:vAlign w:val="bottom"/>
          </w:tcPr>
          <w:p>
            <w:pPr>
              <w:jc w:val="center"/>
              <w:ind w:left="3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4"/>
        </w:trPr>
        <w:tc>
          <w:tcPr>
            <w:tcW w:w="8080" w:type="dxa"/>
            <w:vAlign w:val="bottom"/>
          </w:tcPr>
          <w:p>
            <w:pPr>
              <w:spacing w:after="0"/>
              <w:rPr>
                <w:sz w:val="18"/>
                <w:szCs w:val="18"/>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5"/>
        </w:trPr>
        <w:tc>
          <w:tcPr>
            <w:tcW w:w="8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18"/>
                <w:szCs w:val="18"/>
                <w:color w:val="auto"/>
              </w:rPr>
            </w:pPr>
          </w:p>
        </w:tc>
      </w:tr>
      <w:tr>
        <w:trPr>
          <w:trHeight w:val="23"/>
        </w:trPr>
        <w:tc>
          <w:tcPr>
            <w:tcW w:w="8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1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8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3"/>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debt – APA and Apache</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6,743</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5,188</w:t>
            </w:r>
          </w:p>
        </w:tc>
      </w:tr>
      <w:tr>
        <w:trPr>
          <w:trHeight w:val="21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equity</w:t>
            </w:r>
          </w:p>
        </w:tc>
        <w:tc>
          <w:tcPr>
            <w:tcW w:w="10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6,495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3,691</w:t>
            </w:r>
          </w:p>
        </w:tc>
      </w:tr>
      <w:tr>
        <w:trPr>
          <w:trHeight w:val="210"/>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Available committed borrowing capacity under syndicated credit facilities</w:t>
            </w:r>
          </w:p>
        </w:tc>
        <w:tc>
          <w:tcPr>
            <w:tcW w:w="10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2,822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r>
    </w:tbl>
    <w:p>
      <w:pPr>
        <w:spacing w:after="0" w:line="255" w:lineRule="exact"/>
        <w:rPr>
          <w:sz w:val="20"/>
          <w:szCs w:val="20"/>
          <w:color w:val="auto"/>
        </w:rPr>
      </w:pPr>
    </w:p>
    <w:p>
      <w:pPr>
        <w:jc w:val="both"/>
        <w:ind w:right="20"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As of June 30, 2024, the Company had $160 million in cash and cash equivalents. The majority of the Company’s cash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in highly liquid, investment-grade instruments with maturities of three months or less at the time of purchase.</w:t>
      </w:r>
    </w:p>
    <w:p>
      <w:pPr>
        <w:spacing w:after="0" w:line="118"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As of June 30, 2024, the Company had $6.7 billion in total debt outstanding, which consisted of notes and debentures of Apache,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commercial paper borrowings, and finance lease obligations. As of June 30, 2024, current debt included $2 million of finance lease obligations.</w:t>
      </w:r>
    </w:p>
    <w:p>
      <w:pPr>
        <w:spacing w:after="0" w:line="118" w:lineRule="exact"/>
        <w:rPr>
          <w:sz w:val="20"/>
          <w:szCs w:val="20"/>
          <w:color w:val="auto"/>
        </w:rPr>
      </w:pPr>
    </w:p>
    <w:p>
      <w:pPr>
        <w:jc w:val="both"/>
        <w:ind w:firstLine="44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Unsecured 2022 Committed Credit Facilities </w:t>
      </w:r>
      <w:r>
        <w:rPr>
          <w:rFonts w:ascii="Times New Roman" w:cs="Times New Roman" w:eastAsia="Times New Roman" w:hAnsi="Times New Roman"/>
          <w:sz w:val="18"/>
          <w:szCs w:val="18"/>
          <w:color w:val="auto"/>
        </w:rPr>
        <w:t>On April 29, 2022, the Company entered into two unsecured syndicated credit agreements for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purposes.</w:t>
      </w:r>
    </w:p>
    <w:p>
      <w:pPr>
        <w:spacing w:after="0" w:line="133" w:lineRule="exact"/>
        <w:rPr>
          <w:sz w:val="20"/>
          <w:szCs w:val="20"/>
          <w:color w:val="auto"/>
        </w:rPr>
      </w:pPr>
    </w:p>
    <w:p>
      <w:pPr>
        <w:jc w:val="both"/>
        <w:ind w:left="66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agreement is denominated in US dollars (the USD Agreement) and provides for an unsecured five-year revolving credit facility, with aggregate commitments of US$1.8 billion (including a letter of credit subfacility of up to US$750 million, of which US$150 million currently is committed). The Company may increase commitments up to an aggregate US$2.3 billion by adding new lenders or obtaining the consent of any increasing existing lenders. This facility matures in April 2027, subject to the Company’s two, one-year extension options.</w:t>
      </w:r>
    </w:p>
    <w:p>
      <w:pPr>
        <w:spacing w:after="0" w:line="139"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agreement is denominated in pounds sterling (the GBP Agreement) and provides for an unsecured five-year revolving credit facility, with aggregate commitments of £1.5 billion for loans and letters of credit. This facility matures in April 2027, subject to the Company’s two, one-year extension options.</w:t>
      </w:r>
    </w:p>
    <w:p>
      <w:pPr>
        <w:spacing w:after="0" w:line="203"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Apache may borrow under the USD Agreement up to an aggregate principal amount of US$300 million outstanding at any given time. Apache has guaranteed obligations under each of the USD Agreement and GBP Agreement effective until the aggregate principal amount of indebtedness under senior notes and debentures outstanding under Apache’s existing indentures first is less than US$1.0 billion.</w:t>
      </w:r>
    </w:p>
    <w:p>
      <w:pPr>
        <w:spacing w:after="0" w:line="135"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of June 30, 2024, there were $395 million of borrowings under the USD Agreement and an aggregate £348 million in letters of credit outstanding under the GBP Agreement. As of June 30, 2024, there were no letters of credit outstanding under the USD Agreement. As of December 31, 2023, there were $372 million of borrowings under the USD Agreement and an aggregate £348 million in letters of credit outstanding under the GBP Agreement. As of December 31, 2023, there were no letters of credit outstanding under the USD Agreement.</w:t>
      </w:r>
    </w:p>
    <w:p>
      <w:pPr>
        <w:spacing w:after="0" w:line="15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Uncommitted Lines of Credit </w:t>
      </w:r>
      <w:r>
        <w:rPr>
          <w:rFonts w:ascii="Times New Roman" w:cs="Times New Roman" w:eastAsia="Times New Roman" w:hAnsi="Times New Roman"/>
          <w:sz w:val="18"/>
          <w:szCs w:val="18"/>
          <w:color w:val="auto"/>
        </w:rPr>
        <w:t>Each of the Company and Apache, from time to time, has and uses uncommitted credit and letter of credit facilities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working capital and credit support purposes. As of June 30, 2024 and December 31, 2023, there were no outstanding borrowings under these facilities. As of June 30, 2024, there were £416 million and $11 million in letters of credit outstanding under these facilities. As of December 31, 2023, there were £416 million and $2 million in letters of credit outstanding under these facilities.</w:t>
      </w:r>
    </w:p>
    <w:p>
      <w:pPr>
        <w:spacing w:after="0" w:line="13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In December 2023, the Company established a commercial paper program under which it from time to time may issue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private placements exempt from registration under the Securities Act short-term unsecured promissory notes (CP Notes) up to a maximum aggregate face amount of $1.8 billion outstanding at any time. The maturities of CP Notes may vary but may not exceed 397 days from the date of issuance. Outstanding CP Notes are supported by available borrowing capacity under the Company’s committed $1.8 billion USD Agreement.</w:t>
      </w:r>
    </w:p>
    <w:p>
      <w:pPr>
        <w:spacing w:after="0" w:line="141" w:lineRule="exact"/>
        <w:rPr>
          <w:sz w:val="20"/>
          <w:szCs w:val="20"/>
          <w:color w:val="auto"/>
        </w:rPr>
      </w:pPr>
    </w:p>
    <w:p>
      <w:pPr>
        <w:jc w:val="both"/>
        <w:ind w:right="20" w:firstLine="445"/>
        <w:spacing w:after="0" w:line="282" w:lineRule="auto"/>
        <w:rPr>
          <w:sz w:val="20"/>
          <w:szCs w:val="20"/>
          <w:color w:val="auto"/>
        </w:rPr>
      </w:pPr>
      <w:r>
        <w:rPr>
          <w:rFonts w:ascii="Times New Roman" w:cs="Times New Roman" w:eastAsia="Times New Roman" w:hAnsi="Times New Roman"/>
          <w:sz w:val="18"/>
          <w:szCs w:val="18"/>
          <w:color w:val="auto"/>
        </w:rPr>
        <w:t>Payment of CP Notes has been unconditionally guaranteed on an unsecured basis by Apache, such guarantee effective until the first time that the aggregate principal amount of indebtedness under senior notes and debentures outstanding under Apache’s existing indentures is less than US$1.0 billion.</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5" w:name="page46"/>
    <w:bookmarkEnd w:id="45"/>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June 30, 2024, there was $40 million in aggregate face amount of CP Notes outstanding, which is classified as long-term debt. As of December 31, 2023, there were no CP Notes outstanding.</w:t>
      </w:r>
    </w:p>
    <w:p>
      <w:pPr>
        <w:spacing w:after="0" w:line="160"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18"/>
          <w:szCs w:val="18"/>
          <w:i w:val="1"/>
          <w:iCs w:val="1"/>
          <w:color w:val="auto"/>
        </w:rPr>
        <w:t xml:space="preserve">Term Loan Credit Agreement </w:t>
      </w:r>
      <w:r>
        <w:rPr>
          <w:rFonts w:ascii="Times New Roman" w:cs="Times New Roman" w:eastAsia="Times New Roman" w:hAnsi="Times New Roman"/>
          <w:sz w:val="18"/>
          <w:szCs w:val="18"/>
          <w:color w:val="auto"/>
        </w:rPr>
        <w:t>On January 30, 2024, APA entered into a syndicated credit agreement under which the lenders committed an aggregate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 billion for senior unsecured delayed-draw term loans to APA (Term Loan Credit Agreement), the proceeds of which could be used to refinance certain indebtedness of Callon only once upon the date of the closings under the Merger Agreement and Term Loan Credit Agreement; of such aggregate commitments, $1.5 billion was for term loans that would mature three years after the date of such closings (3-Year Tranche Loans) and $500 million was for term loans that would mature 364 days after the date of such closings (364-Day Tranche Loans). Apache has guaranteed obligations under the Term Loan Credit Agreement effective until the aggregate principal amount of indebtedness under senior notes and debentures outstanding under Apache’s existing indentures first is less than $1.0 billion.</w:t>
      </w:r>
    </w:p>
    <w:p>
      <w:pPr>
        <w:spacing w:after="0" w:line="145"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On April 1, 2024, APA closed the transactions under the Term Loan Credit Agreement, electing to borrow an aggregate $1.5 billion in 3-Year Tranche Loans maturing April 1, 2027, and to allow the lender commitments for the 364-Day Tranche Loans to expire. Loan proceeds were used to refinance certain indebtedness of Callon upon the substantially simultaneous closing of APA’s acquisition of Callon pursuant to the Merger Agreement and to pay related fees and expenses. APA may at any time prepay loans under the Term Loan Credit Agreement. As of June 30, 2024, $1.5 billion in 3-Year Tranche Loans remained outstanding under the Term Loan Credit Agreement.</w:t>
      </w:r>
    </w:p>
    <w:p>
      <w:pPr>
        <w:spacing w:after="0" w:line="158"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Indebtedness of Callon that APA could refinance by borrowing under the Term Loan Credit Agreement included indebtedness outstanding under (i) the Amended and Restated Credit Agreement, dated October 19, 2022, among Callon, JPMorgan Chase Bank, N.A., as administrative agent, and the lenders party thereto (Callon Credit Agreement), (ii) Callon’s 6.375% Senior Notes due 2026 (Callon’s 2026 Notes), (iii) Callon’s 8.00% Senior Notes due 2028 (Callon’s 2028 Notes), and (iv) Callon’s 7.500% Senior Notes due 2030 (Callon’s 2030 Notes).</w:t>
      </w:r>
    </w:p>
    <w:p>
      <w:pPr>
        <w:spacing w:after="0" w:line="139" w:lineRule="exact"/>
        <w:rPr>
          <w:sz w:val="20"/>
          <w:szCs w:val="20"/>
          <w:color w:val="auto"/>
        </w:rPr>
      </w:pPr>
    </w:p>
    <w:p>
      <w:pPr>
        <w:jc w:val="both"/>
        <w:ind w:firstLine="445"/>
        <w:spacing w:after="0"/>
        <w:rPr>
          <w:sz w:val="20"/>
          <w:szCs w:val="20"/>
          <w:color w:val="auto"/>
        </w:rPr>
      </w:pPr>
      <w:r>
        <w:rPr>
          <w:rFonts w:ascii="Times New Roman" w:cs="Times New Roman" w:eastAsia="Times New Roman" w:hAnsi="Times New Roman"/>
          <w:sz w:val="18"/>
          <w:szCs w:val="18"/>
          <w:color w:val="auto"/>
        </w:rPr>
        <w:t>On April 1, 2024, all indebtedness under the Callon Credit Agreement and Callon’s 2026 Notes was repaid, and the aggregate principal balance remaining outstanding under Callon’s 2028 Notes and Callon’s 2030 Notes was reduced to $24 million. On May 6, 2024, all remaining indebtedness under Callon’s 2028 Notes and Callon’s 2030 Notes was repaid. Given these repayments, no guarantee by Callon of APA’s obligations under the Term Loan Credit Agreement is required.</w:t>
      </w:r>
    </w:p>
    <w:p>
      <w:pPr>
        <w:spacing w:after="0" w:line="17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On April 1, 2024, the following Callon indebtedness was repaid by borrowings under the Term Loan Credit Agreement and the USD Agreement:</w:t>
      </w:r>
    </w:p>
    <w:p>
      <w:pPr>
        <w:spacing w:after="0" w:line="117" w:lineRule="exact"/>
        <w:rPr>
          <w:sz w:val="20"/>
          <w:szCs w:val="20"/>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Callon closed cash tender offers for Callon’s 2028 Notes and Callon’s 2030 Notes, accepting for purchase $1.2 billion aggregate principal amount of notes. Callon paid holders an aggregate $1.3 billion in cash, reflecting principal, premium to par, early tender consent fee, and accrued and unpaid interest.</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Callon redeemed the outstanding $321 million principal amount of Callon’s 2026 Notes at a redemption price equal to 101.063% of their principal amount, plus accrued and unpaid interest to the redemption date.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Callon repaid the aggregate $472 million owed under the Callon Credit Agreement, including principal, accrued and unpaid interest, and certain fees.</w:t>
      </w:r>
    </w:p>
    <w:p>
      <w:pPr>
        <w:spacing w:after="0" w:line="121"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On May 6, 2024, Callon fully redeemed the remaining outstanding $8 million principal amount of Callon’s 2028 Notes at a redemption price equal to 101.588% of their principal amount and $16 million principal amount of Callon’s 2030 Notes at a redemption price equal to 102.803% of their principal amount, in each case, plus accrued and unpaid interest to the redemption date. The repayments were partially funded by borrowing under the USD Agreement.</w:t>
      </w:r>
    </w:p>
    <w:p>
      <w:pPr>
        <w:spacing w:after="0" w:line="13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Off-Balance Sheet Arrangements </w:t>
      </w:r>
      <w:r>
        <w:rPr>
          <w:rFonts w:ascii="Times New Roman" w:cs="Times New Roman" w:eastAsia="Times New Roman" w:hAnsi="Times New Roman"/>
          <w:sz w:val="18"/>
          <w:szCs w:val="18"/>
          <w:color w:val="auto"/>
        </w:rPr>
        <w:t>The Company enters into customary agreements in the oil and gas industry for drilling rig commitments, firm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transportation agreements, and other obligations that may not be recorded on the Company’s consolidated balance sheet. For more information regarding these and other contractual arrangements, please refer to “Contractual Obligations” in Part II, Item 7 of APA’s Annual Report on Form 10-K for the fiscal year ended December 31, 2023. There have been no material changes to the contractual obligations described therein.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6" w:name="page47"/>
    <w:bookmarkEnd w:id="46"/>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Potential Decommissioning Obligations on Sold Properties</w:t>
      </w:r>
    </w:p>
    <w:p>
      <w:pPr>
        <w:spacing w:after="0" w:line="202"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In 2013, Apache sold its Gulf of Mexico (GOM) Shelf operations and properties and its GOM operating subsidiary, GOM Shelf LLC (GOM Shelf) to Fieldwood Energy LLC (Fieldwood). Fieldwood assumed the obligation to decommission the properties held by GOM Shelf and the properties acquired from Apache and its other subsidiaries (collectively, the Legacy GOM Assets). On February 14, 2018, Fieldwood filed for (and subsequently emerged from) Chapter 11 bankruptcy protection. On August 3, 2020, Fieldwood filed for (and subsequently emerged from) Chapter 11 bankruptcy protection for a second time. Upon emergence from this second bankruptcy, the Legacy GOM Assets were separated into a standalone company, which was subsequently merged into GOM Shelf. Under GOM Shelf’s limited liability company agreement, the proceeds of production of the Legacy GOM Assets are to be used to fund the operation of GOM Shelf and the decommissioning of Legacy GOM Assets. Pursuant to the terms of the original transaction, as amended in the first bankruptcy, the securing of the asset retirement obligations for the Legacy GOM Assets as and when Apache is required to perform or pay for any such decommissioning was accomplished through the posting of letters of credit in favor of Apache (Letters of Credit), the provision of two bonds (Bonds) in favor of Apache, and the establishment of a trust account of which Apache was a beneficiary and which was funded by net profits interests (NPIs) depending on future oil prices. In addition, after such sources have been exhausted, Apache agreed upon resolution of GOM Shelf’s second bankruptcy to provide a standby loan to GOM Shelf of up to $400 million to perform decommissioning, with such standby loan secured by a first and prior lien on the Legacy GOM Assets.</w:t>
      </w:r>
    </w:p>
    <w:p>
      <w:pPr>
        <w:spacing w:after="0" w:line="147"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By letter dated April 5, 2022 (replacing two earlier letters) and by subsequent letter dated March 1, 2023, GOM Shelf notified the Bureau of Safety and Environmental Enforcement (BSEE) that it was unable to fund the decommissioning obligations that it was obligated to perform on certain of the Legacy GOM Assets. As a result, Apache and other current and former owners in these assets have received orders from BSEE and demands from third parties to decommission certain of the Legacy GOM Assets included in GOM Shelf’s notifications to BSEE. Apache expects to receive similar orders and demands on the other Legacy GOM Assets included in GOM Shelf’s notification letters. Apache has also received orders to decommission other Legacy GOM Assets that were not included in GOM Shelf’s notification letters. Further, Apache anticipates that GOM Shelf may send additional such notices to BSEE in the future and that it may receive additional orders from BSEE requiring it to decommission other Legacy GOM Assets.</w:t>
      </w:r>
    </w:p>
    <w:p>
      <w:pPr>
        <w:spacing w:after="0" w:line="148" w:lineRule="exact"/>
        <w:rPr>
          <w:sz w:val="20"/>
          <w:szCs w:val="20"/>
          <w:color w:val="auto"/>
        </w:rPr>
      </w:pPr>
    </w:p>
    <w:p>
      <w:pPr>
        <w:jc w:val="both"/>
        <w:ind w:firstLine="445"/>
        <w:spacing w:after="0" w:line="238" w:lineRule="auto"/>
        <w:rPr>
          <w:sz w:val="20"/>
          <w:szCs w:val="20"/>
          <w:color w:val="auto"/>
        </w:rPr>
      </w:pPr>
      <w:r>
        <w:rPr>
          <w:rFonts w:ascii="Times New Roman" w:cs="Times New Roman" w:eastAsia="Times New Roman" w:hAnsi="Times New Roman"/>
          <w:sz w:val="18"/>
          <w:szCs w:val="18"/>
          <w:color w:val="auto"/>
        </w:rPr>
        <w:t xml:space="preserve">On June 21, 2023, two sureties that issued Bonds directly to Apache and two sureties that issued bonds to the issuing bank on the Letters of Credit filed suit against Apache in a case styled </w:t>
      </w:r>
      <w:r>
        <w:rPr>
          <w:rFonts w:ascii="Times New Roman" w:cs="Times New Roman" w:eastAsia="Times New Roman" w:hAnsi="Times New Roman"/>
          <w:sz w:val="18"/>
          <w:szCs w:val="18"/>
          <w:i w:val="1"/>
          <w:iCs w:val="1"/>
          <w:color w:val="auto"/>
        </w:rPr>
        <w:t>Zurich American Insurance Company, HCC International Insurance Company PLC, Philadelphia Indemnity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Insurance Company and Everest Reinsurance Company (Insurers) v. Apache Corporation</w:t>
      </w:r>
      <w:r>
        <w:rPr>
          <w:rFonts w:ascii="Times New Roman" w:cs="Times New Roman" w:eastAsia="Times New Roman" w:hAnsi="Times New Roman"/>
          <w:sz w:val="18"/>
          <w:szCs w:val="18"/>
          <w:color w:val="auto"/>
        </w:rPr>
        <w:t>, Cause No. 2023-38238 in the 281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Judicial District Court,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Harris County Texas. The sureties sought to prevent Apache from drawing on the Bonds and Letters of Credit and further alleged that they are discharged from their reimbursement obligations related to decommissioning costs and are entitled to other relief. On July 20, 2023, the 281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Judicial District Court denied the Insurers’ request for a temporary injunction. On July 26, 2023, Apache removed the suit to the United States Bankruptcy Court for the Southern District of Texas (Houston Division) which subsequently held that the sureties’ state court lawsuit violated the terms of the Bankruptcy Confirmation Order and is void. Since the time the sureties filed their state court lawsuit, Apache has drawn down the entirety of the Letters of Credit. Apache has also sought to draw down on the Bonds; however, the sureties refuse to pay such Bond draws. Apache is vigorously pursuing its claims against the sureties.</w:t>
      </w:r>
    </w:p>
    <w:p>
      <w:pPr>
        <w:spacing w:after="0" w:line="17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has recorded a $187 million asset, which represents the remaining amount the Company expects to be reimbursed from security related to these decommissioning costs.</w:t>
      </w:r>
    </w:p>
    <w:p>
      <w:pPr>
        <w:spacing w:after="0" w:line="121"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has recorded contingent liabilities in the amounts of $862 million and $824 million as of June 30, 2024 and December 31, 2023, respectively, representing the estimated costs of decommissioning it may be required to perform on the Legacy GOM Assets. The Company recognized $17 million and $83 million in the second quarter and the first six months of 2024, respectively, of “Loss on previously sold Gulf of Mexico properties.” Amounts recorded in the second quarter of 2024 reflect orders received during the period from BSEE to decommission a property operated and produced by Fieldwood Energy Offshore and Dynamic Offshore Resources NS, LLC. Amounts recorded in the first six months of 2024 also include $33 million related to orders received during the first quarter from BSEE to decommission properties previously sold to Cox Operating LLC. The Company recognized no losses for decommissioning previously sold properties during the second quarter and the first six months of 2023. There have been no other changes in estimates from December 31, 2023 that would have a material impact on the Company’s financial position, results of operations, or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Estimates</w:t>
      </w:r>
    </w:p>
    <w:p>
      <w:pPr>
        <w:spacing w:after="0" w:line="202" w:lineRule="exact"/>
        <w:rPr>
          <w:sz w:val="20"/>
          <w:szCs w:val="20"/>
          <w:color w:val="auto"/>
        </w:rPr>
      </w:pPr>
    </w:p>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 prepares its financial statements and accompanying notes in conformity with accounting principles generally accepted in the U.S., which require management to make estimates and assumptions about future events that affect reported amounts in the financial statements and the accompanying notes. The Company identifies certain accounting policies involving estimation as critical accounting estimates based on, among other things, their impact on the portrayal of the Company’s financial condition, results of operations, or liquidity, as well as the degree of difficulty, subjectivity, and complexity in their deployment. Critical accounting estimates address accounting matters that are inherently uncertain due to unknown future resolution of such matters. Management routinely discusses the development, selection, and disclosure of each critical accounting estimate. For a discussion of the Company’s most critical accounting estimates, please see the Company’s Annual Report on Form 10-K for the fiscal year ended December 31, 2023. For the six months ended June 30, 2024, the Company notes the following additional critical accounting estimate:</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Purchase Price Allocation</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Accounting for the acquisition of a business requires the allocation of the purchase price to the various assets and liabilities of the acquired business and recording deferred taxes for any differences between the allocated values and tax basis of assets and liabilities. Any excess of the purchase price over the amounts assigned to assets and liabilities would be recorded as goodwill.</w:t>
      </w:r>
    </w:p>
    <w:p>
      <w:pPr>
        <w:spacing w:after="0" w:line="149"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The purchase price allocation is accomplished by recording each asset and liability at its estimated fair value. Estimated deferred taxes are based on available information concerning the tax basis of the acquired company’s assets and liabilities and tax-related carryforwards at the merger date, although such estimates may change in the future as additional information becomes known. The amount of goodwill recorded in any particular business combination can vary significantly depending upon the values attributed to assets acquired and liabilities assumed relative to the total acquisition cost.</w:t>
      </w:r>
    </w:p>
    <w:p>
      <w:pPr>
        <w:spacing w:after="0" w:line="13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In estimating the fair values of assets acquired and liabilities assumed, the Company has made various assumptions. The most significant assumptions relate to the estimated fair values assigned to proved and unproved crude oil and natural gas properties. To estimate the fair values of these properties, the Company prepared estimates of crude oil and natural gas reserves as described in the “Reserves Estimates” section of Management’s Discussion and Analysis of Financial Condition and Results of Operations included in the Company’s Annual Report on Form 10-K for the fiscal year ended December 31, 2023. Estimated fair values assigned to assets acquired can have a significant effect on results of operations in the future.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New Accounting Pronouncements</w:t>
      </w:r>
    </w:p>
    <w:p>
      <w:pPr>
        <w:spacing w:after="0" w:line="2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recently issued or adopted accounting standards from those disclosed in the Company’s Annual Report on Form 10-K for the fiscal year ended December 31, 2023.</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9"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primary objective of the following information is to provide forward-looking quantitative and qualitative information about the Company’s exposure to market risk. The term market risk relates to the risk of loss arising from adverse changes in oil, gas, and NGL prices, interest rates, or foreign currency and adverse governmental actions. The disclosures are not meant to be precise indicators of expected future losses, but rather indicators of reasonably possible losses. The forward-looking information provides indicators of how the Company views and manages its ongoing market risk exposures.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Commodity Price Risk</w:t>
      </w:r>
    </w:p>
    <w:p>
      <w:pPr>
        <w:spacing w:after="0" w:line="202"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The Company’s revenues, earnings, cash flow, capital investments and, ultimately, future rate of growth are highly dependent on the prices the Company receives for its crude oil, natural gas, and NGLs, which have historically been very volatile because of unpredictable events such as economic growth or retraction, weather, political climate, and global supply and demand. The Company continually monitors its market risk exposure, as oil and gas supply and demand are impacted by uncertainties in the commodity and financial markets associated with the conflict in Ukraine, the conflict in Israel and Gaza, actions taken by foreign oil and gas producing nations, including OPEC+, global inflation, and other current events.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48" w:name="page49"/>
    <w:bookmarkEnd w:id="48"/>
    <w:p>
      <w:pPr>
        <w:jc w:val="both"/>
        <w:ind w:firstLine="445"/>
        <w:spacing w:after="0" w:line="254" w:lineRule="auto"/>
        <w:rPr>
          <w:sz w:val="20"/>
          <w:szCs w:val="20"/>
          <w:color w:val="auto"/>
        </w:rPr>
      </w:pPr>
      <w:r>
        <w:rPr>
          <w:rFonts w:ascii="Times New Roman" w:cs="Times New Roman" w:eastAsia="Times New Roman" w:hAnsi="Times New Roman"/>
          <w:sz w:val="18"/>
          <w:szCs w:val="18"/>
          <w:color w:val="auto"/>
        </w:rPr>
        <w:t>The Company’s average crude oil price realizations increased 8 percent from $76.38 per barrel to $82.28 per barrel during the second quarters of 2023 and 2024, respectively. The Company’s average natural gas price realizations decreased 26 percent from $2.39 per Mcf to $1.77 per Mcf during the second quarters of 2023 and 2024, respectively. The Company’s average NGL price realizations increased 16 percent from $18.69 per barrel to $21.68 per barrel during the second quarters of 2023 and 2024, respectively. Based on average daily production for the second quarter of 2024, a $1.00 per barrel change in the weighted average realized oil price would have increased or decreased revenues for the quarter by approximately $23 million, a $0.10 per Mcf change in the weighted average realized natural gas price would have increased or decreased revenues for the quarter by approximately $8 million, and a $1.00 per barrel change in the weighted average realized NGL price would have increased or decreased revenues for the quarter by approximately $7 million.</w:t>
      </w:r>
    </w:p>
    <w:p>
      <w:pPr>
        <w:spacing w:after="0" w:line="165" w:lineRule="exact"/>
        <w:rPr>
          <w:sz w:val="20"/>
          <w:szCs w:val="20"/>
          <w:color w:val="auto"/>
        </w:rPr>
      </w:pPr>
    </w:p>
    <w:p>
      <w:pPr>
        <w:jc w:val="both"/>
        <w:ind w:firstLine="445"/>
        <w:spacing w:after="0" w:line="253" w:lineRule="auto"/>
        <w:rPr>
          <w:sz w:val="20"/>
          <w:szCs w:val="20"/>
          <w:color w:val="auto"/>
        </w:rPr>
      </w:pPr>
      <w:r>
        <w:rPr>
          <w:rFonts w:ascii="Times New Roman" w:cs="Times New Roman" w:eastAsia="Times New Roman" w:hAnsi="Times New Roman"/>
          <w:sz w:val="18"/>
          <w:szCs w:val="18"/>
          <w:color w:val="auto"/>
        </w:rPr>
        <w:t xml:space="preserve">The Company periodically enters into derivative positions on a portion of its projected crude oil and natural gas production through a variety of financial and physical arrangements intended to manage fluctuations in cash flows resulting from changes in commodity prices. Such derivative positions may include the use of futures contracts, swaps, and/or options. The Company does not hold or issue derivative instruments for trading purposes. As of June 30, 2024, the Company had open natural gas derivatives not designated as cash flow hedges in an asset position with a fair value of $2 million. A 10 percent increase in natural gas prices would increase the liability by approximately $1 million, while a 10 percent decrease in prices would decrease the liability by approximately $1 million. As of June 30, 2024, the Company had open NGL derivatives not designated as cash flow hedges in a liability position with a fair value of $1 million. The impact of a 10 percent movement in NGL prices would be immaterial to the fair value of the commodity derivatives. These fair value changes assume volatility based on prevailing market parameters at June 30, 2024. Refer to </w:t>
      </w:r>
      <w:r>
        <w:rPr>
          <w:rFonts w:ascii="Times New Roman" w:cs="Times New Roman" w:eastAsia="Times New Roman" w:hAnsi="Times New Roman"/>
          <w:sz w:val="18"/>
          <w:szCs w:val="18"/>
          <w:u w:val="single" w:color="auto"/>
          <w:color w:val="0000FF"/>
        </w:rPr>
        <w:t>Note 4—Derivative Instruments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Hedging Activities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Consolidated Financial Statements set forth in Part I, Item 1 of this Quarterly Report on Form 10-Q for notional</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volumes and terms with the Company’s derivative contracts.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 Rate Risk</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$4.8 billion, net, in outstanding notes and debentures, all of which was fixed-rate debt, with a weighted average interest rate of 5.34 percent. Although near-term changes in interest rates may affect the fair value of fixed-rate debt, such changes do not expose the Company to the risk of earnings or cash flow loss associated with that debt.</w:t>
      </w:r>
    </w:p>
    <w:p>
      <w:pPr>
        <w:spacing w:after="0" w:line="149"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The Company is also exposed to interest rate risk related to its interest-bearing cash and cash equivalents balances and amounts outstanding under its term loan facility, commercial paper program, and syndicated credit facilities. As of June 30, 2024, the Company had approximately $160 million in cash and cash equivalents, approximately 84 percent of which was invested in money market funds and short-term investments with major financial institutions. As of June 30, 2024, there were $1.9 billion of borrowings outstanding under the Company’s term loan facility, commercial paper program, and syndicated revolving credit facilities. Changes in the interest rate applicable to short-term investments, term loan facility, commercial paper program, and credit facility borrowings are expected to have an immaterial impact on earnings and cash flows but could impact interest costs associated with future debt issuances or any future borrowings.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Foreign Currency Exchange Rate Risk</w:t>
      </w:r>
    </w:p>
    <w:p>
      <w:pPr>
        <w:spacing w:after="0" w:line="189" w:lineRule="exact"/>
        <w:rPr>
          <w:sz w:val="20"/>
          <w:szCs w:val="20"/>
          <w:color w:val="auto"/>
        </w:rPr>
      </w:pPr>
    </w:p>
    <w:p>
      <w:pPr>
        <w:jc w:val="both"/>
        <w:ind w:firstLine="445"/>
        <w:spacing w:after="0" w:line="256" w:lineRule="auto"/>
        <w:rPr>
          <w:sz w:val="20"/>
          <w:szCs w:val="20"/>
          <w:color w:val="auto"/>
        </w:rPr>
      </w:pPr>
      <w:r>
        <w:rPr>
          <w:rFonts w:ascii="Times New Roman" w:cs="Times New Roman" w:eastAsia="Times New Roman" w:hAnsi="Times New Roman"/>
          <w:sz w:val="18"/>
          <w:szCs w:val="18"/>
          <w:color w:val="auto"/>
        </w:rPr>
        <w:t>The Company’s cash activities relating to certain international operations is based on the U.S. dollar equivalent of cash flows measured in foreign currencies. The Company’s North Sea production is sold under U.S. dollar contracts, while the majority of costs incurred are paid in British pounds. The Company’s Egypt production is sold under U.S. dollar contracts, and the majority of costs incurred are denominated in U.S. dollars. Transactions denominated in British pounds are converted to U.S. dollar equivalents based on the average exchange rates during the period. The Company monitors foreign currency exchange rates of countries in which it is conducting business and may, from time to time, implement measures to protect against foreign currency exchange rate risk.</w:t>
      </w:r>
    </w:p>
    <w:p>
      <w:pPr>
        <w:spacing w:after="0" w:line="160" w:lineRule="exact"/>
        <w:rPr>
          <w:sz w:val="20"/>
          <w:szCs w:val="20"/>
          <w:color w:val="auto"/>
        </w:rPr>
      </w:pPr>
    </w:p>
    <w:p>
      <w:pPr>
        <w:jc w:val="both"/>
        <w:ind w:firstLine="445"/>
        <w:spacing w:after="0" w:line="258" w:lineRule="auto"/>
        <w:rPr>
          <w:sz w:val="20"/>
          <w:szCs w:val="20"/>
          <w:color w:val="auto"/>
        </w:rPr>
      </w:pPr>
      <w:r>
        <w:rPr>
          <w:rFonts w:ascii="Times New Roman" w:cs="Times New Roman" w:eastAsia="Times New Roman" w:hAnsi="Times New Roman"/>
          <w:sz w:val="18"/>
          <w:szCs w:val="18"/>
          <w:color w:val="auto"/>
        </w:rPr>
        <w:t>Foreign currency gains and losses also arise when monetary assets and monetary liabilities denominated in foreign currencies are translated at the end of each month. Foreign currency gains and losses are included as either a component of “Other” under “Revenues and Other” or, as is the case when the Company re-measures its foreign tax liabilities, as a component of the Company’s provision for income tax expense on the statement of consolidated operations. Foreign currency net gain or loss of $4 million would result from a 10 percent weakening or strengthening, respectively, in the British pound as of June 30, 2024.</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9" w:name="page50"/>
    <w:bookmarkEnd w:id="49"/>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Disclosure Controls and Procedures</w:t>
      </w:r>
    </w:p>
    <w:p>
      <w:pPr>
        <w:spacing w:after="0" w:line="202" w:lineRule="exact"/>
        <w:rPr>
          <w:sz w:val="20"/>
          <w:szCs w:val="20"/>
          <w:color w:val="auto"/>
        </w:rPr>
      </w:pPr>
    </w:p>
    <w:p>
      <w:pPr>
        <w:jc w:val="both"/>
        <w:ind w:firstLine="445"/>
        <w:spacing w:after="0" w:line="255" w:lineRule="auto"/>
        <w:rPr>
          <w:sz w:val="20"/>
          <w:szCs w:val="20"/>
          <w:color w:val="auto"/>
        </w:rPr>
      </w:pPr>
      <w:r>
        <w:rPr>
          <w:rFonts w:ascii="Times New Roman" w:cs="Times New Roman" w:eastAsia="Times New Roman" w:hAnsi="Times New Roman"/>
          <w:sz w:val="18"/>
          <w:szCs w:val="18"/>
          <w:color w:val="auto"/>
        </w:rPr>
        <w:t>John J. Christmann IV, the Company’s Chief Executive Officer, in his capacity as principal executive officer, and Stephen J. Riney, the Company’s President and Chief Financial Officer, in his capacity as principal financial officer, evaluated the effectiveness of the Company’s disclosure controls and procedures as of June 30, 2024, the end of the period covered by this report. Based on that evaluation and as of the date of that evaluation, these officers concluded that the Company’s disclosure controls and procedures were effective, providing effective means to ensure that the information the Company is required to disclose under applicable laws and regulations is recorded, processed, summarized and reported within the time periods specified in the Commission’s rules and forms and accumulated and communicated to our management, including our principal executive officer and principal financial officer, to allow timely decisions regarding required disclosure.</w:t>
      </w:r>
    </w:p>
    <w:p>
      <w:pPr>
        <w:spacing w:after="0" w:line="148"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The Company periodically reviews the design and effectiveness of its disclosure controls, including compliance with various laws and regulations that apply to its operations, both inside and outside the United States. The Company makes modifications to improve the design and effectiveness of our disclosure controls, and may take other corrective action, if the Company’s reviews identify deficiencies or weaknesses in its controls.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 Over Financial Reporting</w:t>
      </w:r>
    </w:p>
    <w:p>
      <w:pPr>
        <w:spacing w:after="0" w:line="20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As a result of the Callon acquisition on April 1, 2024, the Company’s internal control over financial reporting, subsequent to the date of acquisition includes certain additional internal controls relating to Callon. There were no other changes in the Company’s internal control over financial reporting that occurred during the quarter ended June 30, 2024 that have materially affected, or are reasonably likely to materially affect, the Company’s internal control over financial reporting.</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89"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 xml:space="preserve">Refer to Part I, Item 3—Legal Proceedings of the Company’s Annual Report on Form 10-K for the fiscal year ended December 31, 2023 and </w:t>
      </w:r>
      <w:r>
        <w:rPr>
          <w:rFonts w:ascii="Times New Roman" w:cs="Times New Roman" w:eastAsia="Times New Roman" w:hAnsi="Times New Roman"/>
          <w:sz w:val="18"/>
          <w:szCs w:val="18"/>
          <w:u w:val="single" w:color="auto"/>
          <w:color w:val="0000FF"/>
        </w:rPr>
        <w:t>Note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—Commitments and Contingencies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 the Notes to the Consolidated Financial Statements set forth in Part I, Item 1 of this Quarterly Report on Form 10-Q</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(which is hereby incorporated by reference herein), for a description of material legal proceedings.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2" w:lineRule="exact"/>
        <w:rPr>
          <w:sz w:val="20"/>
          <w:szCs w:val="20"/>
          <w:color w:val="auto"/>
        </w:rPr>
      </w:pPr>
    </w:p>
    <w:p>
      <w:pPr>
        <w:jc w:val="both"/>
        <w:ind w:firstLine="445"/>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risk factors disclosed in Part I, Item 1A—Risk Factors of the Company’s Annual Report on Form 10-K for the fiscal year ended December 31, 2023.</w:t>
      </w:r>
    </w:p>
    <w:p>
      <w:pPr>
        <w:spacing w:after="0" w:line="121" w:lineRule="exact"/>
        <w:rPr>
          <w:sz w:val="20"/>
          <w:szCs w:val="20"/>
          <w:color w:val="auto"/>
        </w:rPr>
      </w:pPr>
    </w:p>
    <w:p>
      <w:pPr>
        <w:jc w:val="both"/>
        <w:ind w:firstLine="445"/>
        <w:spacing w:after="0" w:line="266" w:lineRule="auto"/>
        <w:rPr>
          <w:sz w:val="20"/>
          <w:szCs w:val="20"/>
          <w:color w:val="auto"/>
        </w:rPr>
      </w:pPr>
      <w:r>
        <w:rPr>
          <w:rFonts w:ascii="Times New Roman" w:cs="Times New Roman" w:eastAsia="Times New Roman" w:hAnsi="Times New Roman"/>
          <w:sz w:val="18"/>
          <w:szCs w:val="18"/>
          <w:color w:val="auto"/>
        </w:rPr>
        <w:t>Given the nature of its business, Apache Corporation may be subject to different or additional risks than those applicable to the Company. For a description of these risks, refer to the disclosures in Apache Corporation’s Quarterly Reports on Form 10-Q for the quarterly periods ended March 31, 2024 and June 30, 2024 and Apache Corporation’s Annual Report on Form 10-K for the fiscal year ended December 31, 2023.</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presents information on shares of common stock repurchased by the Company during the quarter ended June 30, 2024:</w:t>
      </w:r>
    </w:p>
    <w:p>
      <w:pPr>
        <w:spacing w:after="0" w:line="2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8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52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76"/>
        </w:trPr>
        <w:tc>
          <w:tcPr>
            <w:tcW w:w="4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0" w:type="dxa"/>
            <w:vAlign w:val="bottom"/>
          </w:tcPr>
          <w:p>
            <w:pPr>
              <w:spacing w:after="0"/>
              <w:rPr>
                <w:sz w:val="1"/>
                <w:szCs w:val="1"/>
                <w:color w:val="auto"/>
              </w:rPr>
            </w:pPr>
          </w:p>
        </w:tc>
      </w:tr>
      <w:tr>
        <w:trPr>
          <w:trHeight w:val="175"/>
        </w:trPr>
        <w:tc>
          <w:tcPr>
            <w:tcW w:w="4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Shares Purchased</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40" w:type="dxa"/>
            <w:vAlign w:val="bottom"/>
          </w:tcPr>
          <w:p>
            <w:pPr>
              <w:spacing w:after="0"/>
              <w:rPr>
                <w:sz w:val="16"/>
                <w:szCs w:val="16"/>
                <w:color w:val="auto"/>
              </w:rPr>
            </w:pPr>
          </w:p>
        </w:tc>
        <w:tc>
          <w:tcPr>
            <w:tcW w:w="136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00" w:type="dxa"/>
            <w:vAlign w:val="bottom"/>
          </w:tcPr>
          <w:p>
            <w:pPr>
              <w:spacing w:after="0"/>
              <w:rPr>
                <w:sz w:val="16"/>
                <w:szCs w:val="16"/>
                <w:color w:val="auto"/>
              </w:rPr>
            </w:pPr>
          </w:p>
        </w:tc>
        <w:tc>
          <w:tcPr>
            <w:tcW w:w="1600" w:type="dxa"/>
            <w:vAlign w:val="bottom"/>
            <w:gridSpan w:val="2"/>
          </w:tcPr>
          <w:p>
            <w:pPr>
              <w:jc w:val="center"/>
              <w:ind w:right="100"/>
              <w:spacing w:after="0" w:line="189" w:lineRule="exact"/>
              <w:rPr>
                <w:sz w:val="20"/>
                <w:szCs w:val="20"/>
                <w:color w:val="auto"/>
              </w:rPr>
            </w:pPr>
            <w:r>
              <w:rPr>
                <w:rFonts w:ascii="Times New Roman" w:cs="Times New Roman" w:eastAsia="Times New Roman" w:hAnsi="Times New Roman"/>
                <w:sz w:val="18"/>
                <w:szCs w:val="18"/>
                <w:b w:val="1"/>
                <w:bCs w:val="1"/>
                <w:color w:val="auto"/>
              </w:rPr>
              <w:t>as Part of Publicly</w:t>
            </w: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175"/>
        </w:trPr>
        <w:tc>
          <w:tcPr>
            <w:tcW w:w="4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5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 Plans or</w:t>
            </w:r>
          </w:p>
        </w:tc>
        <w:tc>
          <w:tcPr>
            <w:tcW w:w="0" w:type="dxa"/>
            <w:vAlign w:val="bottom"/>
          </w:tcPr>
          <w:p>
            <w:pPr>
              <w:spacing w:after="0"/>
              <w:rPr>
                <w:sz w:val="1"/>
                <w:szCs w:val="1"/>
                <w:color w:val="auto"/>
              </w:rPr>
            </w:pPr>
          </w:p>
        </w:tc>
      </w:tr>
      <w:tr>
        <w:trPr>
          <w:trHeight w:val="243"/>
        </w:trPr>
        <w:tc>
          <w:tcPr>
            <w:tcW w:w="4900" w:type="dxa"/>
            <w:vAlign w:val="bottom"/>
            <w:gridSpan w:val="2"/>
            <w:vMerge w:val="continue"/>
          </w:tcPr>
          <w:p>
            <w:pPr>
              <w:spacing w:after="0"/>
              <w:rPr>
                <w:sz w:val="21"/>
                <w:szCs w:val="21"/>
                <w:color w:val="auto"/>
              </w:rPr>
            </w:pP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4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00" w:type="dxa"/>
            <w:vAlign w:val="bottom"/>
          </w:tcPr>
          <w:p>
            <w:pPr>
              <w:spacing w:after="0"/>
              <w:rPr>
                <w:sz w:val="21"/>
                <w:szCs w:val="21"/>
                <w:color w:val="auto"/>
              </w:rPr>
            </w:pPr>
          </w:p>
        </w:tc>
        <w:tc>
          <w:tcPr>
            <w:tcW w:w="1600" w:type="dxa"/>
            <w:vAlign w:val="bottom"/>
            <w:gridSpan w:val="2"/>
          </w:tcPr>
          <w:p>
            <w:pPr>
              <w:jc w:val="center"/>
              <w:ind w:right="100"/>
              <w:spacing w:after="0" w:line="243" w:lineRule="exact"/>
              <w:rPr>
                <w:sz w:val="20"/>
                <w:szCs w:val="20"/>
                <w:color w:val="auto"/>
              </w:rPr>
            </w:pPr>
            <w:r>
              <w:rPr>
                <w:rFonts w:ascii="Times New Roman" w:cs="Times New Roman" w:eastAsia="Times New Roman" w:hAnsi="Times New Roman"/>
                <w:sz w:val="18"/>
                <w:szCs w:val="18"/>
                <w:b w:val="1"/>
                <w:bCs w:val="1"/>
                <w:color w:val="auto"/>
                <w:w w:val="95"/>
              </w:rPr>
              <w:t>or Programs</w:t>
            </w:r>
            <w:r>
              <w:rPr>
                <w:rFonts w:ascii="Times New Roman" w:cs="Times New Roman" w:eastAsia="Times New Roman" w:hAnsi="Times New Roman"/>
                <w:sz w:val="23"/>
                <w:szCs w:val="23"/>
                <w:b w:val="1"/>
                <w:bCs w:val="1"/>
                <w:color w:val="auto"/>
                <w:w w:val="95"/>
                <w:vertAlign w:val="superscript"/>
              </w:rPr>
              <w:t>(1)</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3"/>
              </w:rPr>
              <w:t>Programs</w:t>
            </w:r>
            <w:r>
              <w:rPr>
                <w:rFonts w:ascii="Times New Roman" w:cs="Times New Roman" w:eastAsia="Times New Roman" w:hAnsi="Times New Roman"/>
                <w:sz w:val="23"/>
                <w:szCs w:val="23"/>
                <w:b w:val="1"/>
                <w:bCs w:val="1"/>
                <w:color w:val="auto"/>
                <w:w w:val="93"/>
                <w:vertAlign w:val="superscript"/>
              </w:rPr>
              <w:t>(1)</w:t>
            </w:r>
          </w:p>
        </w:tc>
        <w:tc>
          <w:tcPr>
            <w:tcW w:w="0" w:type="dxa"/>
            <w:vAlign w:val="bottom"/>
          </w:tcPr>
          <w:p>
            <w:pPr>
              <w:spacing w:after="0"/>
              <w:rPr>
                <w:sz w:val="1"/>
                <w:szCs w:val="1"/>
                <w:color w:val="auto"/>
              </w:rPr>
            </w:pPr>
          </w:p>
        </w:tc>
      </w:tr>
      <w:tr>
        <w:trPr>
          <w:trHeight w:val="223"/>
        </w:trPr>
        <w:tc>
          <w:tcPr>
            <w:tcW w:w="4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to April 30, 2024</w:t>
            </w:r>
          </w:p>
        </w:tc>
        <w:tc>
          <w:tcPr>
            <w:tcW w:w="8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40,908,502</w:t>
            </w:r>
          </w:p>
        </w:tc>
        <w:tc>
          <w:tcPr>
            <w:tcW w:w="0" w:type="dxa"/>
            <w:vAlign w:val="bottom"/>
          </w:tcPr>
          <w:p>
            <w:pPr>
              <w:spacing w:after="0"/>
              <w:rPr>
                <w:sz w:val="1"/>
                <w:szCs w:val="1"/>
                <w:color w:val="auto"/>
              </w:rPr>
            </w:pPr>
          </w:p>
        </w:tc>
      </w:tr>
      <w:tr>
        <w:trPr>
          <w:trHeight w:val="230"/>
        </w:trPr>
        <w:tc>
          <w:tcPr>
            <w:tcW w:w="4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to May 31, 2024</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40,908,502</w:t>
            </w:r>
          </w:p>
        </w:tc>
        <w:tc>
          <w:tcPr>
            <w:tcW w:w="0" w:type="dxa"/>
            <w:vAlign w:val="bottom"/>
          </w:tcPr>
          <w:p>
            <w:pPr>
              <w:spacing w:after="0"/>
              <w:rPr>
                <w:sz w:val="1"/>
                <w:szCs w:val="1"/>
                <w:color w:val="auto"/>
              </w:rPr>
            </w:pPr>
          </w:p>
        </w:tc>
      </w:tr>
      <w:tr>
        <w:trPr>
          <w:trHeight w:val="230"/>
        </w:trPr>
        <w:tc>
          <w:tcPr>
            <w:tcW w:w="4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to June 30, 2024</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1,480,072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1,480,072</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39,428,430</w:t>
            </w:r>
          </w:p>
        </w:tc>
        <w:tc>
          <w:tcPr>
            <w:tcW w:w="0" w:type="dxa"/>
            <w:vAlign w:val="bottom"/>
          </w:tcPr>
          <w:p>
            <w:pPr>
              <w:spacing w:after="0"/>
              <w:rPr>
                <w:sz w:val="1"/>
                <w:szCs w:val="1"/>
                <w:color w:val="auto"/>
              </w:rPr>
            </w:pPr>
          </w:p>
        </w:tc>
      </w:tr>
      <w:tr>
        <w:trPr>
          <w:trHeight w:val="223"/>
        </w:trPr>
        <w:tc>
          <w:tcPr>
            <w:tcW w:w="49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1,480,072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28.72</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firstLine="8"/>
        <w:spacing w:after="0" w:line="281" w:lineRule="auto"/>
        <w:tabs>
          <w:tab w:leader="none" w:pos="20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the fourth quarter of 2021, the Company's Board of Directors authorized the purchase of 40 million shares of the Company's common stock. During September of 2022, the Company's Board of Directors authorized the purchase of an additional 40 million shares of the Company's common stock. Shares may be purchased either in the open market or through privately negotiated transactions. The Company is not obligated to acquire any specific number of shares.</w:t>
      </w:r>
    </w:p>
    <w:p>
      <w:pPr>
        <w:spacing w:after="0" w:line="17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89" w:lineRule="exact"/>
        <w:rPr>
          <w:sz w:val="20"/>
          <w:szCs w:val="20"/>
          <w:color w:val="auto"/>
        </w:rPr>
      </w:pPr>
    </w:p>
    <w:p>
      <w:pPr>
        <w:ind w:right="20" w:firstLine="445"/>
        <w:spacing w:after="0" w:line="282" w:lineRule="auto"/>
        <w:rPr>
          <w:sz w:val="20"/>
          <w:szCs w:val="20"/>
          <w:color w:val="auto"/>
        </w:rPr>
      </w:pPr>
      <w:r>
        <w:rPr>
          <w:rFonts w:ascii="Times New Roman" w:cs="Times New Roman" w:eastAsia="Times New Roman" w:hAnsi="Times New Roman"/>
          <w:sz w:val="18"/>
          <w:szCs w:val="18"/>
          <w:color w:val="auto"/>
        </w:rPr>
        <w:t>During the three months ended June 30, 2024, none of the Company’s officers or directors adopted or terminated any Rule 10b5-1 trading arrangement or “non-Rule 10b5-1 trading arrangement” (as such term is defined in Item 408 of Regulation S-K promulgated under the Securities Act).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8"/>
        </w:trPr>
        <w:tc>
          <w:tcPr>
            <w:tcW w:w="6960" w:type="dxa"/>
            <w:vAlign w:val="bottom"/>
            <w:gridSpan w:val="15"/>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vMerge w:val="continue"/>
          </w:tcPr>
          <w:p>
            <w:pPr>
              <w:spacing w:after="0"/>
              <w:rPr>
                <w:sz w:val="13"/>
                <w:szCs w:val="13"/>
                <w:color w:val="auto"/>
              </w:rPr>
            </w:pPr>
          </w:p>
        </w:tc>
        <w:tc>
          <w:tcPr>
            <w:tcW w:w="540" w:type="dxa"/>
            <w:vAlign w:val="bottom"/>
          </w:tcPr>
          <w:p>
            <w:pPr>
              <w:spacing w:after="0"/>
              <w:rPr>
                <w:sz w:val="13"/>
                <w:szCs w:val="13"/>
                <w:color w:val="auto"/>
              </w:rPr>
            </w:pPr>
          </w:p>
        </w:tc>
        <w:tc>
          <w:tcPr>
            <w:tcW w:w="5340" w:type="dxa"/>
            <w:vAlign w:val="bottom"/>
            <w:gridSpan w:val="13"/>
            <w:vMerge w:val="restart"/>
          </w:tcPr>
          <w:p>
            <w:pPr>
              <w:ind w:left="17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NO.</w:t>
            </w:r>
          </w:p>
        </w:tc>
        <w:tc>
          <w:tcPr>
            <w:tcW w:w="540" w:type="dxa"/>
            <w:vAlign w:val="bottom"/>
          </w:tcPr>
          <w:p>
            <w:pPr>
              <w:spacing w:after="0"/>
              <w:rPr>
                <w:sz w:val="12"/>
                <w:szCs w:val="12"/>
                <w:color w:val="auto"/>
              </w:rPr>
            </w:pPr>
          </w:p>
        </w:tc>
        <w:tc>
          <w:tcPr>
            <w:tcW w:w="5340" w:type="dxa"/>
            <w:vAlign w:val="bottom"/>
            <w:gridSpan w:val="13"/>
            <w:vMerge w:val="continue"/>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120" w:type="dxa"/>
            <w:vAlign w:val="bottom"/>
            <w:vMerge w:val="restart"/>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SEC File No.</w:t>
            </w:r>
          </w:p>
        </w:tc>
        <w:tc>
          <w:tcPr>
            <w:tcW w:w="0" w:type="dxa"/>
            <w:vAlign w:val="bottom"/>
          </w:tcPr>
          <w:p>
            <w:pPr>
              <w:spacing w:after="0"/>
              <w:rPr>
                <w:sz w:val="1"/>
                <w:szCs w:val="1"/>
                <w:color w:val="auto"/>
              </w:rPr>
            </w:pPr>
          </w:p>
        </w:tc>
      </w:tr>
      <w:tr>
        <w:trPr>
          <w:trHeight w:val="94"/>
        </w:trPr>
        <w:tc>
          <w:tcPr>
            <w:tcW w:w="1080" w:type="dxa"/>
            <w:vAlign w:val="bottom"/>
            <w:tcBorders>
              <w:bottom w:val="single" w:sz="8" w:color="auto"/>
            </w:tcBorders>
            <w:vMerge w:val="continue"/>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160" w:type="dxa"/>
            <w:vAlign w:val="bottom"/>
            <w:tcBorders>
              <w:bottom w:val="single" w:sz="8" w:color="auto"/>
            </w:tcBorders>
            <w:vMerge w:val="continue"/>
          </w:tcPr>
          <w:p>
            <w:pPr>
              <w:spacing w:after="0"/>
              <w:rPr>
                <w:sz w:val="8"/>
                <w:szCs w:val="8"/>
                <w:color w:val="auto"/>
              </w:rPr>
            </w:pPr>
          </w:p>
        </w:tc>
        <w:tc>
          <w:tcPr>
            <w:tcW w:w="11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2"/>
        </w:trPr>
        <w:tc>
          <w:tcPr>
            <w:tcW w:w="10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7"/>
              </w:rPr>
              <w:t>2.1</w:t>
            </w:r>
          </w:p>
        </w:tc>
        <w:tc>
          <w:tcPr>
            <w:tcW w:w="5880" w:type="dxa"/>
            <w:vAlign w:val="bottom"/>
            <w:gridSpan w:val="14"/>
          </w:tcPr>
          <w:p>
            <w:pPr>
              <w:spacing w:after="0" w:line="18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Agreement and Plan of Merger, dated as of January 3, 2024, by and among</w:t>
              </w:r>
            </w:hyperlink>
          </w:p>
        </w:tc>
        <w:tc>
          <w:tcPr>
            <w:tcW w:w="9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90"/>
              <w:spacing w:after="0" w:line="182" w:lineRule="exact"/>
              <w:rPr>
                <w:sz w:val="20"/>
                <w:szCs w:val="20"/>
                <w:color w:val="auto"/>
              </w:rPr>
            </w:pPr>
            <w:r>
              <w:rPr>
                <w:rFonts w:ascii="Times New Roman" w:cs="Times New Roman" w:eastAsia="Times New Roman" w:hAnsi="Times New Roman"/>
                <w:sz w:val="18"/>
                <w:szCs w:val="18"/>
                <w:color w:val="auto"/>
                <w:w w:val="97"/>
              </w:rPr>
              <w:t>2.1</w:t>
            </w:r>
          </w:p>
        </w:tc>
        <w:tc>
          <w:tcPr>
            <w:tcW w:w="11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1/4/2024</w:t>
            </w:r>
          </w:p>
        </w:tc>
        <w:tc>
          <w:tcPr>
            <w:tcW w:w="110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001-40144</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Registrant, Astro Comet Merger Sub Corp., and Callon Petroleum Company.</w:t>
              </w:r>
            </w:hyperlink>
          </w:p>
        </w:tc>
        <w:tc>
          <w:tcPr>
            <w:tcW w:w="2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5880" w:type="dxa"/>
            <w:vAlign w:val="bottom"/>
            <w:gridSpan w:val="14"/>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Amended and Restated Certificate of Incorporation of Registrant, dated March</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8-K12B</w:t>
            </w:r>
          </w:p>
        </w:tc>
        <w:tc>
          <w:tcPr>
            <w:tcW w:w="11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3/1/2021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001-40144</w:t>
            </w: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78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1, 2021, as filed with the Secretary of State of the State of Delaware on March</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2540" w:type="dxa"/>
            <w:vAlign w:val="bottom"/>
            <w:gridSpan w:val="2"/>
          </w:tcPr>
          <w:p>
            <w:pPr>
              <w:spacing w:after="0" w:line="169"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1, 2021</w:t>
              </w:r>
              <w:r>
                <w:rPr>
                  <w:rFonts w:ascii="Times New Roman" w:cs="Times New Roman" w:eastAsia="Times New Roman" w:hAnsi="Times New Roman"/>
                  <w:sz w:val="18"/>
                  <w:szCs w:val="18"/>
                  <w:color w:val="000000"/>
                </w:rPr>
                <w:t>.</w:t>
              </w:r>
            </w:hyperlink>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5880" w:type="dxa"/>
            <w:vAlign w:val="bottom"/>
            <w:gridSpan w:val="14"/>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Certificate  of  Amendment  of  Amended  and  Restated  Certificate  of</w:t>
              </w:r>
            </w:hyperlink>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5/25/2023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001-40144</w:t>
            </w:r>
          </w:p>
        </w:tc>
        <w:tc>
          <w:tcPr>
            <w:tcW w:w="0" w:type="dxa"/>
            <w:vAlign w:val="bottom"/>
          </w:tcPr>
          <w:p>
            <w:pPr>
              <w:spacing w:after="0"/>
              <w:rPr>
                <w:sz w:val="1"/>
                <w:szCs w:val="1"/>
                <w:color w:val="auto"/>
              </w:rPr>
            </w:pPr>
          </w:p>
        </w:tc>
      </w:tr>
      <w:tr>
        <w:trPr>
          <w:trHeight w:val="155"/>
        </w:trPr>
        <w:tc>
          <w:tcPr>
            <w:tcW w:w="1080" w:type="dxa"/>
            <w:vAlign w:val="bottom"/>
          </w:tcPr>
          <w:p>
            <w:pPr>
              <w:spacing w:after="0"/>
              <w:rPr>
                <w:sz w:val="13"/>
                <w:szCs w:val="13"/>
                <w:color w:val="auto"/>
              </w:rPr>
            </w:pPr>
          </w:p>
        </w:tc>
        <w:tc>
          <w:tcPr>
            <w:tcW w:w="58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Incorporation of Registrant, dated May 24, 2023, as filed with the Secretary of</w:t>
              </w:r>
            </w:hyperlink>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576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State of the State of Delaware on May 24, 2023</w:t>
              </w:r>
              <w:r>
                <w:rPr>
                  <w:rFonts w:ascii="Times New Roman" w:cs="Times New Roman" w:eastAsia="Times New Roman" w:hAnsi="Times New Roman"/>
                  <w:sz w:val="18"/>
                  <w:szCs w:val="18"/>
                  <w:color w:val="000000"/>
                </w:rPr>
                <w:t>.</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5880" w:type="dxa"/>
            <w:vAlign w:val="bottom"/>
            <w:gridSpan w:val="14"/>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Amended and Restated Bylaws of Registrant, dated February 2, 2023</w:t>
              </w:r>
            </w:hyperlink>
            <w:r>
              <w:rPr>
                <w:rFonts w:ascii="Times New Roman" w:cs="Times New Roman" w:eastAsia="Times New Roman" w:hAnsi="Times New Roman"/>
                <w:sz w:val="18"/>
                <w:szCs w:val="18"/>
                <w:color w:val="000000"/>
              </w:rPr>
              <w:t>.</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1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2/8/2023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001-40144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5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 Exchange</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260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Act) by Principal Executive Officer.</w:t>
            </w:r>
          </w:p>
        </w:tc>
        <w:tc>
          <w:tcPr>
            <w:tcW w:w="322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5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(pursuant to Rule 13a-14(a) or Rule 15d-14(a) of the Exchange</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2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Act) by Principal Financial Officer.</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2540" w:type="dxa"/>
            <w:vAlign w:val="bottom"/>
            <w:gridSpan w:val="2"/>
            <w:shd w:val="clear" w:color="auto" w:fill="0000FF"/>
          </w:tcPr>
          <w:p>
            <w:pPr>
              <w:spacing w:after="0" w:line="20" w:lineRule="exact"/>
              <w:rPr>
                <w:sz w:val="1"/>
                <w:szCs w:val="1"/>
                <w:color w:val="auto"/>
              </w:rPr>
            </w:pPr>
          </w:p>
        </w:tc>
        <w:tc>
          <w:tcPr>
            <w:tcW w:w="1740" w:type="dxa"/>
            <w:vAlign w:val="bottom"/>
            <w:gridSpan w:val="3"/>
          </w:tcPr>
          <w:p>
            <w:pPr>
              <w:spacing w:after="0" w:line="20" w:lineRule="exact"/>
              <w:rPr>
                <w:sz w:val="1"/>
                <w:szCs w:val="1"/>
                <w:color w:val="auto"/>
              </w:rPr>
            </w:pPr>
          </w:p>
        </w:tc>
        <w:tc>
          <w:tcPr>
            <w:tcW w:w="15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5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Section 1350 Certification (pursuant to Sarbanes-Oxley Section 906) by</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80" w:type="dxa"/>
            <w:vAlign w:val="bottom"/>
          </w:tcPr>
          <w:p>
            <w:pPr>
              <w:spacing w:after="0"/>
              <w:rPr>
                <w:sz w:val="13"/>
                <w:szCs w:val="13"/>
                <w:color w:val="auto"/>
              </w:rPr>
            </w:pPr>
          </w:p>
        </w:tc>
        <w:tc>
          <w:tcPr>
            <w:tcW w:w="5840" w:type="dxa"/>
            <w:vAlign w:val="bottom"/>
            <w:tcBorders>
              <w:top w:val="single" w:sz="8" w:color="0000FF"/>
            </w:tcBorders>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Principal Executive Officer and Principal Financial Officer.</w:t>
            </w:r>
          </w:p>
        </w:tc>
        <w:tc>
          <w:tcPr>
            <w:tcW w:w="4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280" w:type="dxa"/>
            <w:vAlign w:val="bottom"/>
            <w:gridSpan w:val="5"/>
            <w:shd w:val="clear" w:color="auto" w:fill="0000FF"/>
          </w:tcPr>
          <w:p>
            <w:pPr>
              <w:spacing w:after="0" w:line="20" w:lineRule="exact"/>
              <w:rPr>
                <w:sz w:val="1"/>
                <w:szCs w:val="1"/>
                <w:color w:val="auto"/>
              </w:rPr>
            </w:pPr>
          </w:p>
        </w:tc>
        <w:tc>
          <w:tcPr>
            <w:tcW w:w="1600" w:type="dxa"/>
            <w:vAlign w:val="bottom"/>
            <w:gridSpan w:val="9"/>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w:t>
            </w:r>
          </w:p>
        </w:tc>
        <w:tc>
          <w:tcPr>
            <w:tcW w:w="5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The following financial statements from the Registrant's Quarterly Report on</w:t>
            </w:r>
          </w:p>
        </w:tc>
        <w:tc>
          <w:tcPr>
            <w:tcW w:w="9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588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auto"/>
              </w:rPr>
              <w:t>Form 10-Q for the quarter ended June 30, 2024, formatted in Inline XBRL: (i)</w:t>
            </w: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5880" w:type="dxa"/>
            <w:vAlign w:val="bottom"/>
            <w:gridSpan w:val="14"/>
          </w:tcPr>
          <w:p>
            <w:pPr>
              <w:spacing w:after="0" w:line="181" w:lineRule="exact"/>
              <w:rPr>
                <w:sz w:val="20"/>
                <w:szCs w:val="20"/>
                <w:color w:val="auto"/>
              </w:rPr>
            </w:pPr>
            <w:r>
              <w:rPr>
                <w:rFonts w:ascii="Times New Roman" w:cs="Times New Roman" w:eastAsia="Times New Roman" w:hAnsi="Times New Roman"/>
                <w:sz w:val="18"/>
                <w:szCs w:val="18"/>
                <w:color w:val="auto"/>
              </w:rPr>
              <w:t>Statement  of  Consolidated  Operations,  (ii)  Statement  of  Consolidated</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1080" w:type="dxa"/>
            <w:vAlign w:val="bottom"/>
          </w:tcPr>
          <w:p>
            <w:pPr>
              <w:spacing w:after="0"/>
              <w:rPr>
                <w:sz w:val="15"/>
                <w:szCs w:val="15"/>
                <w:color w:val="auto"/>
              </w:rPr>
            </w:pPr>
          </w:p>
        </w:tc>
        <w:tc>
          <w:tcPr>
            <w:tcW w:w="5880" w:type="dxa"/>
            <w:vAlign w:val="bottom"/>
            <w:gridSpan w:val="14"/>
          </w:tcPr>
          <w:p>
            <w:pPr>
              <w:spacing w:after="0" w:line="176" w:lineRule="exact"/>
              <w:rPr>
                <w:sz w:val="20"/>
                <w:szCs w:val="20"/>
                <w:color w:val="auto"/>
              </w:rPr>
            </w:pPr>
            <w:r>
              <w:rPr>
                <w:rFonts w:ascii="Times New Roman" w:cs="Times New Roman" w:eastAsia="Times New Roman" w:hAnsi="Times New Roman"/>
                <w:sz w:val="18"/>
                <w:szCs w:val="18"/>
                <w:color w:val="auto"/>
              </w:rPr>
              <w:t>Comprehensive Income, (iii) Statement of Consolidated Cash Flows, (iv)</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080" w:type="dxa"/>
            <w:vAlign w:val="bottom"/>
          </w:tcPr>
          <w:p>
            <w:pPr>
              <w:spacing w:after="0"/>
              <w:rPr>
                <w:sz w:val="16"/>
                <w:szCs w:val="16"/>
                <w:color w:val="auto"/>
              </w:rPr>
            </w:pPr>
          </w:p>
        </w:tc>
        <w:tc>
          <w:tcPr>
            <w:tcW w:w="588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auto"/>
              </w:rPr>
              <w:t>Consolidated Balance Sheet, (v) Statement of Consolidated Changes in Equity</w:t>
            </w: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5880" w:type="dxa"/>
            <w:vAlign w:val="bottom"/>
            <w:gridSpan w:val="14"/>
          </w:tcPr>
          <w:p>
            <w:pPr>
              <w:spacing w:after="0" w:line="181" w:lineRule="exact"/>
              <w:rPr>
                <w:sz w:val="20"/>
                <w:szCs w:val="20"/>
                <w:color w:val="auto"/>
              </w:rPr>
            </w:pPr>
            <w:r>
              <w:rPr>
                <w:rFonts w:ascii="Times New Roman" w:cs="Times New Roman" w:eastAsia="Times New Roman" w:hAnsi="Times New Roman"/>
                <w:sz w:val="18"/>
                <w:szCs w:val="18"/>
                <w:color w:val="auto"/>
              </w:rPr>
              <w:t>(Deficit) and Noncontrolling Interests and (vi) Notes to Consolidated Financial</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1080" w:type="dxa"/>
            <w:vAlign w:val="bottom"/>
          </w:tcPr>
          <w:p>
            <w:pPr>
              <w:spacing w:after="0"/>
              <w:rPr>
                <w:sz w:val="19"/>
                <w:szCs w:val="19"/>
                <w:color w:val="auto"/>
              </w:rPr>
            </w:pPr>
          </w:p>
        </w:tc>
        <w:tc>
          <w:tcPr>
            <w:tcW w:w="5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Statements, tagged as blocks of text and including detailed tags.</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5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Schema Document.</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5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5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5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5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c>
          <w:tcPr>
            <w:tcW w:w="9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08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*104</w:t>
            </w:r>
          </w:p>
        </w:tc>
        <w:tc>
          <w:tcPr>
            <w:tcW w:w="5880" w:type="dxa"/>
            <w:vAlign w:val="bottom"/>
            <w:gridSpan w:val="14"/>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w:t>
            </w:r>
          </w:p>
        </w:tc>
        <w:tc>
          <w:tcPr>
            <w:tcW w:w="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588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Exhibit 101).</w:t>
            </w:r>
          </w:p>
        </w:tc>
        <w:tc>
          <w:tcPr>
            <w:tcW w:w="9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6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Filed herewith</w:t>
      </w:r>
    </w:p>
    <w:p>
      <w:pPr>
        <w:spacing w:after="0" w:line="1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w:t>
        <w:tab/>
        <w:t>Furnished herewith</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APA CORPORATION</w:t>
            </w:r>
          </w:p>
        </w:tc>
      </w:tr>
      <w:tr>
        <w:trPr>
          <w:trHeight w:val="49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1, 2024</w:t>
            </w: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STEPHEN J. RINEY</w:t>
            </w:r>
          </w:p>
        </w:tc>
      </w:tr>
      <w:tr>
        <w:trPr>
          <w:trHeight w:val="218"/>
        </w:trPr>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Stephen J. Riney</w:t>
            </w:r>
          </w:p>
        </w:tc>
      </w:tr>
      <w:tr>
        <w:trPr>
          <w:trHeight w:val="229"/>
        </w:trPr>
        <w:tc>
          <w:tcPr>
            <w:tcW w:w="6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August 1, 2024</w:t>
            </w:r>
          </w:p>
        </w:tc>
        <w:tc>
          <w:tcPr>
            <w:tcW w:w="5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REBECCA A. HOYT</w:t>
            </w:r>
          </w:p>
        </w:tc>
      </w:tr>
      <w:tr>
        <w:trPr>
          <w:trHeight w:val="218"/>
        </w:trPr>
        <w:tc>
          <w:tcPr>
            <w:tcW w:w="6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Rebecca A. Hoyt</w:t>
            </w:r>
          </w:p>
        </w:tc>
      </w:tr>
      <w:tr>
        <w:trPr>
          <w:trHeight w:val="229"/>
        </w:trPr>
        <w:tc>
          <w:tcPr>
            <w:tcW w:w="6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Accounting Officer, and Controller</w:t>
            </w:r>
          </w:p>
        </w:tc>
      </w:tr>
      <w:tr>
        <w:trPr>
          <w:trHeight w:val="234"/>
        </w:trPr>
        <w:tc>
          <w:tcPr>
            <w:tcW w:w="6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887"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J. Christmann IV, certify that:</w:t>
      </w:r>
    </w:p>
    <w:p>
      <w:pPr>
        <w:spacing w:after="0" w:line="144" w:lineRule="exact"/>
        <w:rPr>
          <w:sz w:val="20"/>
          <w:szCs w:val="20"/>
          <w:color w:val="auto"/>
        </w:rPr>
      </w:pPr>
    </w:p>
    <w:p>
      <w:pPr>
        <w:ind w:left="360" w:hanging="334"/>
        <w:spacing w:after="0"/>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APA Corporation;</w:t>
      </w:r>
    </w:p>
    <w:p>
      <w:pPr>
        <w:spacing w:after="0" w:line="27" w:lineRule="exact"/>
        <w:rPr>
          <w:rFonts w:ascii="Times New Roman" w:cs="Times New Roman" w:eastAsia="Times New Roman" w:hAnsi="Times New Roman"/>
          <w:sz w:val="18"/>
          <w:szCs w:val="18"/>
          <w:color w:val="auto"/>
        </w:rPr>
      </w:pPr>
    </w:p>
    <w:p>
      <w:pPr>
        <w:jc w:val="both"/>
        <w:ind w:left="360" w:right="60" w:hanging="334"/>
        <w:spacing w:after="0" w:line="224"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360" w:right="40" w:hanging="334"/>
        <w:spacing w:after="0" w:line="237"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360" w:right="40" w:hanging="334"/>
        <w:spacing w:after="0" w:line="226"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760" w:right="40" w:hanging="410"/>
        <w:spacing w:after="0" w:line="226" w:lineRule="auto"/>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760" w:right="60" w:hanging="410"/>
        <w:spacing w:after="0" w:line="226" w:lineRule="auto"/>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760" w:right="40" w:hanging="410"/>
        <w:spacing w:after="0" w:line="226" w:lineRule="auto"/>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360" w:right="60" w:hanging="334"/>
        <w:spacing w:after="0" w:line="237" w:lineRule="auto"/>
        <w:tabs>
          <w:tab w:leader="none" w:pos="3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J. Christmann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3438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J. Christmann IV</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887"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J. Riney, certify that:</w:t>
      </w:r>
    </w:p>
    <w:p>
      <w:pPr>
        <w:spacing w:after="0" w:line="144" w:lineRule="exact"/>
        <w:rPr>
          <w:sz w:val="20"/>
          <w:szCs w:val="20"/>
          <w:color w:val="auto"/>
        </w:rPr>
      </w:pPr>
    </w:p>
    <w:p>
      <w:pPr>
        <w:ind w:left="360" w:hanging="334"/>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APA Corporation;</w:t>
      </w:r>
    </w:p>
    <w:p>
      <w:pPr>
        <w:spacing w:after="0" w:line="27" w:lineRule="exact"/>
        <w:rPr>
          <w:rFonts w:ascii="Times New Roman" w:cs="Times New Roman" w:eastAsia="Times New Roman" w:hAnsi="Times New Roman"/>
          <w:sz w:val="18"/>
          <w:szCs w:val="18"/>
          <w:color w:val="auto"/>
        </w:rPr>
      </w:pPr>
    </w:p>
    <w:p>
      <w:pPr>
        <w:jc w:val="both"/>
        <w:ind w:left="360" w:right="60" w:hanging="334"/>
        <w:spacing w:after="0" w:line="224"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 w:lineRule="exact"/>
        <w:rPr>
          <w:rFonts w:ascii="Times New Roman" w:cs="Times New Roman" w:eastAsia="Times New Roman" w:hAnsi="Times New Roman"/>
          <w:sz w:val="18"/>
          <w:szCs w:val="18"/>
          <w:color w:val="auto"/>
        </w:rPr>
      </w:pPr>
    </w:p>
    <w:p>
      <w:pPr>
        <w:ind w:left="360" w:right="40" w:hanging="334"/>
        <w:spacing w:after="0" w:line="237"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 w:lineRule="exact"/>
        <w:rPr>
          <w:rFonts w:ascii="Times New Roman" w:cs="Times New Roman" w:eastAsia="Times New Roman" w:hAnsi="Times New Roman"/>
          <w:sz w:val="18"/>
          <w:szCs w:val="18"/>
          <w:color w:val="auto"/>
        </w:rPr>
      </w:pPr>
    </w:p>
    <w:p>
      <w:pPr>
        <w:jc w:val="both"/>
        <w:ind w:left="360" w:right="40" w:hanging="334"/>
        <w:spacing w:after="0" w:line="226"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 w:lineRule="exact"/>
        <w:rPr>
          <w:rFonts w:ascii="Times New Roman" w:cs="Times New Roman" w:eastAsia="Times New Roman" w:hAnsi="Times New Roman"/>
          <w:sz w:val="18"/>
          <w:szCs w:val="18"/>
          <w:color w:val="auto"/>
        </w:rPr>
      </w:pPr>
    </w:p>
    <w:p>
      <w:pPr>
        <w:jc w:val="both"/>
        <w:ind w:left="760" w:right="40" w:hanging="410"/>
        <w:spacing w:after="0" w:line="226" w:lineRule="auto"/>
        <w:tabs>
          <w:tab w:leader="none" w:pos="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 w:lineRule="exact"/>
        <w:rPr>
          <w:rFonts w:ascii="Times New Roman" w:cs="Times New Roman" w:eastAsia="Times New Roman" w:hAnsi="Times New Roman"/>
          <w:sz w:val="18"/>
          <w:szCs w:val="18"/>
          <w:color w:val="auto"/>
        </w:rPr>
      </w:pPr>
    </w:p>
    <w:p>
      <w:pPr>
        <w:jc w:val="both"/>
        <w:ind w:left="760" w:right="60" w:hanging="410"/>
        <w:spacing w:after="0" w:line="226" w:lineRule="auto"/>
        <w:tabs>
          <w:tab w:leader="none" w:pos="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 w:lineRule="exact"/>
        <w:rPr>
          <w:rFonts w:ascii="Times New Roman" w:cs="Times New Roman" w:eastAsia="Times New Roman" w:hAnsi="Times New Roman"/>
          <w:sz w:val="18"/>
          <w:szCs w:val="18"/>
          <w:color w:val="auto"/>
        </w:rPr>
      </w:pPr>
    </w:p>
    <w:p>
      <w:pPr>
        <w:jc w:val="both"/>
        <w:ind w:left="760" w:right="40" w:hanging="410"/>
        <w:spacing w:after="0" w:line="226" w:lineRule="auto"/>
        <w:tabs>
          <w:tab w:leader="none" w:pos="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 w:lineRule="exact"/>
        <w:rPr>
          <w:rFonts w:ascii="Times New Roman" w:cs="Times New Roman" w:eastAsia="Times New Roman" w:hAnsi="Times New Roman"/>
          <w:sz w:val="18"/>
          <w:szCs w:val="18"/>
          <w:color w:val="auto"/>
        </w:rPr>
      </w:pPr>
    </w:p>
    <w:p>
      <w:pPr>
        <w:ind w:left="360" w:right="60" w:hanging="334"/>
        <w:spacing w:after="0" w:line="237"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 w:lineRule="exact"/>
        <w:rPr>
          <w:rFonts w:ascii="Times New Roman" w:cs="Times New Roman" w:eastAsia="Times New Roman" w:hAnsi="Times New Roman"/>
          <w:sz w:val="18"/>
          <w:szCs w:val="18"/>
          <w:color w:val="auto"/>
        </w:rPr>
      </w:pPr>
    </w:p>
    <w:p>
      <w:pPr>
        <w:ind w:left="760" w:right="60" w:hanging="410"/>
        <w:spacing w:after="0" w:line="237" w:lineRule="auto"/>
        <w:tabs>
          <w:tab w:leader="none" w:pos="7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J. Riney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3438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Stephen J. Riney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887"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APA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Principal Financial Officer</w:t>
      </w:r>
    </w:p>
    <w:p>
      <w:pPr>
        <w:spacing w:after="0" w:line="207"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John J. Christmann IV, certify pursuant to 18 U.S.C. Section 1350, as adopted pursuant to Section 906 of the Sarbanes-Oxley Act of 2002, that, to my knowledge, the quarterly report on Form 10-Q of APA Corporation for the quarterly period ending June 30, 2024, fully complies with the requirements of Section 13(a) or 15(d) of the Securities Exchange Act of 1934 (15 U.S.C. §78m or §78o (d)) and that information contained in such report fairly represents, in all material respects, the financial condition and results of operations of APA Corporation.</w:t>
      </w:r>
    </w:p>
    <w:p>
      <w:pPr>
        <w:spacing w:after="0" w:line="2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3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J. Christmann IV</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John J. Christmann IV</w:t>
            </w:r>
          </w:p>
        </w:tc>
      </w:tr>
      <w:tr>
        <w:trPr>
          <w:trHeight w:val="229"/>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80" w:type="dxa"/>
            <w:vAlign w:val="bottom"/>
          </w:tcPr>
          <w:p>
            <w:pPr>
              <w:spacing w:after="0"/>
              <w:rPr>
                <w:sz w:val="20"/>
                <w:szCs w:val="20"/>
                <w:color w:val="auto"/>
              </w:rPr>
            </w:pP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92" w:lineRule="exact"/>
        <w:rPr>
          <w:sz w:val="20"/>
          <w:szCs w:val="20"/>
          <w:color w:val="auto"/>
        </w:rPr>
      </w:pPr>
    </w:p>
    <w:p>
      <w:pPr>
        <w:jc w:val="both"/>
        <w:ind w:firstLine="445"/>
        <w:spacing w:after="0" w:line="261" w:lineRule="auto"/>
        <w:rPr>
          <w:sz w:val="20"/>
          <w:szCs w:val="20"/>
          <w:color w:val="auto"/>
        </w:rPr>
      </w:pPr>
      <w:r>
        <w:rPr>
          <w:rFonts w:ascii="Times New Roman" w:cs="Times New Roman" w:eastAsia="Times New Roman" w:hAnsi="Times New Roman"/>
          <w:sz w:val="18"/>
          <w:szCs w:val="18"/>
          <w:color w:val="auto"/>
        </w:rPr>
        <w:t>I, Stephen J. Riney, certify pursuant to 18 U.S.C. Section 1350, as adopted pursuant to Section 906 of the Sarbanes-Oxley Act of 2002, that, to my knowledge, the quarterly report on Form 10-Q of APA Corporation for the quarterly period ending June 30, 2024, fully complies with the requirements of Section 13(a) or 15(d) of the Securities Exchange Act of 1934 (15 U.S.C. §78m or §78o (d)) and that information contained in such report fairly represents, in all material respects, the financial condition and results of operations of APA Corporation.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2024</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Stephen J. Riney</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38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Stephen J. Riney</w:t>
            </w:r>
          </w:p>
        </w:tc>
      </w:tr>
      <w:tr>
        <w:trPr>
          <w:trHeight w:val="229"/>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President and Chief Financial Officer</w:t>
            </w:r>
          </w:p>
        </w:tc>
      </w:tr>
      <w:tr>
        <w:trPr>
          <w:trHeight w:val="234"/>
        </w:trPr>
        <w:tc>
          <w:tcPr>
            <w:tcW w:w="680" w:type="dxa"/>
            <w:vAlign w:val="bottom"/>
          </w:tcPr>
          <w:p>
            <w:pPr>
              <w:spacing w:after="0"/>
              <w:rPr>
                <w:sz w:val="20"/>
                <w:szCs w:val="20"/>
                <w:color w:val="auto"/>
              </w:rPr>
            </w:pPr>
          </w:p>
        </w:tc>
        <w:tc>
          <w:tcPr>
            <w:tcW w:w="53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2"/>
    </w:lvl>
  </w:abstractNum>
  <w:abstractNum w:abstractNumId="6">
    <w:nsid w:val="7FDCC233"/>
    <w:multiLevelType w:val="hybridMultilevel"/>
    <w:lvl w:ilvl="0">
      <w:lvlJc w:val="left"/>
      <w:lvlText w:val="%1."/>
      <w:numFmt w:val="decimal"/>
      <w:start w:val="4"/>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1)"/>
      <w:numFmt w:val="decimal"/>
      <w:start w:val="2"/>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decimal"/>
      <w:start w:val="3"/>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
      <w:numFmt w:val="bullet"/>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1" Type="http://schemas.openxmlformats.org/officeDocument/2006/relationships/hyperlink" Target="https://www.sec.gov/Archives/edgar/data/1841666/000119312524002515/d680825dex21.htm" TargetMode="External"/><Relationship Id="rId62" Type="http://schemas.openxmlformats.org/officeDocument/2006/relationships/hyperlink" Target="https://www.sec.gov/Archives/edgar/data/1841666/000119312521063695/d127090dex31.htm" TargetMode="External"/><Relationship Id="rId63" Type="http://schemas.openxmlformats.org/officeDocument/2006/relationships/hyperlink" Target="https://www.sec.gov/Archives/edgar/data/1841666/000119312523154218/d466832dex31.htm" TargetMode="External"/><Relationship Id="rId64" Type="http://schemas.openxmlformats.org/officeDocument/2006/relationships/hyperlink" Target="https://www.sec.gov/Archives/edgar/data/1841666/000119312523028378/d462086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2024-08-02T05:23:13Z</dcterms:created>
  <dcterms:modified xsi:type="dcterms:W3CDTF">2024-08-02T05:23:13Z</dcterms:modified>
</cp:coreProperties>
</file>