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1"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6"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 the transition period from _________ to 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1-40144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APA CORPORATION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29" w:right="33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86-1430562</w:t>
      </w:r>
    </w:p>
    <w:p>
      <w:pPr>
        <w:spacing w:after="0" w:line="34"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1029" w:right="3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2000 W. Sam Houston Pkwy. S., Suite 200, Houston, Texas 77042-3643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296-6000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29" w:right="339" w:bottom="1440" w:gutter="0" w:footer="0" w:header="0"/>
          <w:type w:val="continuous"/>
        </w:sectPr>
      </w:pPr>
    </w:p>
    <w:p>
      <w:pPr>
        <w:spacing w:after="0" w:line="6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sectPr>
          <w:pgSz w:w="11900" w:h="16838" w:orient="portrait"/>
          <w:cols w:equalWidth="0" w:num="3">
            <w:col w:w="3860" w:space="720"/>
            <w:col w:w="2080" w:space="720"/>
            <w:col w:w="3860"/>
          </w:cols>
          <w:pgMar w:left="320" w:top="1029"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b w:val="1"/>
          <w:bCs w:val="1"/>
          <w:color w:val="auto"/>
        </w:rPr>
        <w:t>Common Stock, $0.625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APA</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Nasdaq Texas, LLC</w:t>
      </w:r>
    </w:p>
    <w:p>
      <w:pPr>
        <w:spacing w:after="0" w:line="169" w:lineRule="exact"/>
        <w:rPr>
          <w:sz w:val="24"/>
          <w:szCs w:val="24"/>
          <w:color w:val="auto"/>
        </w:rPr>
      </w:pPr>
    </w:p>
    <w:p>
      <w:pPr>
        <w:sectPr>
          <w:pgSz w:w="11900" w:h="16838" w:orient="portrait"/>
          <w:cols w:equalWidth="0" w:num="3">
            <w:col w:w="4320" w:space="720"/>
            <w:col w:w="2040" w:space="720"/>
            <w:col w:w="3440"/>
          </w:cols>
          <w:pgMar w:left="320" w:top="1029" w:right="339" w:bottom="1440" w:gutter="0" w:footer="0" w:header="0"/>
          <w:type w:val="continuous"/>
        </w:sect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of registrant’s common stock outstanding as of April 30, 2026</w:t>
            </w:r>
          </w:p>
        </w:tc>
        <w:tc>
          <w:tcPr>
            <w:tcW w:w="3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353,470,227</w:t>
            </w:r>
          </w:p>
        </w:tc>
      </w:tr>
      <w:tr>
        <w:trPr>
          <w:trHeight w:val="1269"/>
        </w:trPr>
        <w:tc>
          <w:tcPr>
            <w:tcW w:w="78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8"/>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6"/>
        </w:trPr>
        <w:tc>
          <w:tcPr>
            <w:tcW w:w="60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OPERATIONS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COMPREHENSIVE INCOME</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2</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STATEMENT OF CONSOLIDATED CASH FLOWS</w:t>
            </w:r>
          </w:p>
        </w:tc>
        <w:tc>
          <w:tcPr>
            <w:tcW w:w="1120" w:type="dxa"/>
            <w:vAlign w:val="bottom"/>
            <w:tcBorders>
              <w:top w:val="single" w:sz="8" w:color="0000FF"/>
            </w:tcBorders>
            <w:gridSpan w:val="2"/>
          </w:tcPr>
          <w:p>
            <w:pPr>
              <w:spacing w:after="0"/>
              <w:rPr>
                <w:sz w:val="21"/>
                <w:szCs w:val="21"/>
                <w:color w:val="auto"/>
              </w:rPr>
            </w:pPr>
          </w:p>
        </w:tc>
        <w:tc>
          <w:tcPr>
            <w:tcW w:w="3780" w:type="dxa"/>
            <w:vAlign w:val="bottom"/>
            <w:gridSpan w:val="4"/>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4</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CHANGES IN EQUITY AND NONCONTROLLING INTERESTS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7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19</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740" w:type="dxa"/>
            <w:vAlign w:val="bottom"/>
            <w:gridSpan w:val="2"/>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540" w:type="dxa"/>
            <w:vAlign w:val="bottom"/>
            <w:gridSpan w:val="7"/>
          </w:tcPr>
          <w:p>
            <w:pPr>
              <w:spacing w:after="0"/>
              <w:rPr>
                <w:sz w:val="21"/>
                <w:szCs w:val="21"/>
                <w:color w:val="auto"/>
              </w:rPr>
            </w:pPr>
          </w:p>
        </w:tc>
        <w:tc>
          <w:tcPr>
            <w:tcW w:w="2740" w:type="dxa"/>
            <w:vAlign w:val="bottom"/>
            <w:gridSpan w:val="2"/>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506"/>
        </w:trPr>
        <w:tc>
          <w:tcPr>
            <w:tcW w:w="60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9480" w:type="dxa"/>
            <w:vAlign w:val="bottom"/>
            <w:gridSpan w:val="19"/>
          </w:tcPr>
          <w:p>
            <w:pPr>
              <w:ind w:left="300"/>
              <w:spacing w:after="0"/>
              <w:rPr>
                <w:sz w:val="20"/>
                <w:szCs w:val="20"/>
                <w:color w:val="auto"/>
              </w:rPr>
            </w:pP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color w:val="0000FF"/>
              </w:rPr>
              <w:t>RISK FACTORS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180" w:type="dxa"/>
            <w:vAlign w:val="bottom"/>
            <w:gridSpan w:val="8"/>
          </w:tcPr>
          <w:p>
            <w:pPr>
              <w:spacing w:after="0"/>
              <w:rPr>
                <w:sz w:val="21"/>
                <w:szCs w:val="21"/>
                <w:color w:val="auto"/>
              </w:rPr>
            </w:pPr>
          </w:p>
        </w:tc>
        <w:tc>
          <w:tcPr>
            <w:tcW w:w="2820" w:type="dxa"/>
            <w:vAlign w:val="bottom"/>
            <w:gridSpan w:val="3"/>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tcPr>
          <w:p>
            <w:pPr>
              <w:spacing w:after="0"/>
              <w:rPr>
                <w:sz w:val="21"/>
                <w:szCs w:val="21"/>
                <w:color w:val="auto"/>
              </w:rPr>
            </w:pPr>
          </w:p>
        </w:tc>
      </w:tr>
      <w:tr>
        <w:trPr>
          <w:trHeight w:val="1013"/>
        </w:trPr>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RISKS</w:t>
      </w:r>
    </w:p>
    <w:p>
      <w:pPr>
        <w:spacing w:after="0" w:line="18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and capital returns framework, are forward-looking statements. Such forward-looking statements are based on the Company’s examination of historical operating trends, the information that was used to prepare its estimate of proved reserves as of December 31, 2025, and other data in the Company’s possession or available from third parties. In addition, forward-looking statements generally can be identified by the use of forward-looking terminology such as “may,” “will,” “could,” “expect,” “intend,” “project,” “estimate,” “anticipate,” “plan,” “target,” “believe,” “continue,” “seek,” “guidance,” “goal,” “might,” “outlook,” “possibly,” “potential,” “predict,” “prospect,” “should,” “would,” or similar terminology or the negative of these terms,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8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regional, national, and international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oil, natural gas, natural gas liquids (NGLs), and other products or services, including the prices received for natural gas purchased from third parties to sell and deliver to a U.S. LNG export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commodity hedging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oil, natural gas, NGLs, and other products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risks;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 including market and macro-economic disruptions resulting from trade tensions between the U.S. and other countries;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foreign oil and gas producing nations, including the Organization of the Petroleum Exporting Countries (OPEC) and non-OPEC members that participate in OPEC initiatives (OPEC+), and the impact of any nation exiting OPEC;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duration of armed conflicts, including those involving Iran, Russia, Ukraine, Israel, Lebanon, and Gaza;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and decommissioning obligations, including changes to applicable regulatory and industry standards, the timing of related activities, and potential obligations to decommission previously owned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legislation;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or domestic trade policy changes, including tariffs, import/export controls, and sanctions;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terrorism;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pressure and the influence of environmental groups and other stakeholders on decisions and policies related to the industries in which the Company and its affiliates operate;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initiatives addressing the impact of global climate change or further regulating hydraulic fracturing, methane emissions, flaring, or water disposal;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injunctive relief, corrective actions, or other adverse outcomes resulting from pending or future litigation, governmental investigations, regulatory proceedings, or alleged violations of laws, regulations, permits, or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market-related risks, such as general credit, liquidity, and interest-rate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and hire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acquisitions or divestitures;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the Company’s Annual Report on Form 10-K for the fiscal year ended December 31, 2025;</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the Company’s first-quarter 2026 earnings release;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II, </w:t>
      </w:r>
      <w:r>
        <w:rPr>
          <w:rFonts w:ascii="Times New Roman" w:cs="Times New Roman" w:eastAsia="Times New Roman" w:hAnsi="Times New Roman"/>
          <w:sz w:val="18"/>
          <w:szCs w:val="18"/>
          <w:u w:val="single" w:color="auto"/>
          <w:color w:val="0000FF"/>
        </w:rPr>
        <w:t>Item 1A—Risk Factors</w:t>
      </w:r>
      <w:r>
        <w:rPr>
          <w:rFonts w:ascii="Times New Roman" w:cs="Times New Roman" w:eastAsia="Times New Roman" w:hAnsi="Times New Roman"/>
          <w:sz w:val="18"/>
          <w:szCs w:val="18"/>
          <w:color w:val="auto"/>
        </w:rPr>
        <w:t xml:space="preserve"> of this Quarterly Report on Form 10-Q;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other filings that the Company makes with the Securities and Exchange Commission.</w:t>
      </w:r>
    </w:p>
    <w:p>
      <w:pPr>
        <w:spacing w:after="0" w:line="18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212529"/>
        </w:rPr>
        <w:t>DEFINITIONS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All defined terms under Rule 4-10(a) of Regulation S-X shall have their statutorily prescribed meanings when used in this Quarterly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10-Q. As used herein: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“b/d” means barrels of oil or NGLs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“bbl” or “bbls” means barrel or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 means billion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“bcf/d” means one bcf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 means barrel of oil equivalent, determined by using the ratio of one barrel of oil or NGLs to six Mcf of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“boe/d” means 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“Btu” means a British thermal unit, a measure of heating value.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“liquids” means oil and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“LNG” means liquefied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“Mb/d” means Mbbls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“Mbbls” means thousand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 means thousand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“Mboe/d” means Mboe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 means thousand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“Mcf/d” means 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“MMbbls” means million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“MMboe” means million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 means million Btu.</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“MMBtu/d” means MMBtu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 means million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“MMcf/d” means MMcf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“NGL” or “NGLs” means natural gas liquids, which are expressed in barrels.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“NYMEX” means New York Mercantile Exchange.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“oil” includes crude oil and condensate.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“PUD” means proved undeveloped.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“SEC”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“Tcf” means trillion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“U.K.” means United Kingdom.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“U.S.” means United States.</w:t>
      </w:r>
    </w:p>
    <w:p>
      <w:pPr>
        <w:spacing w:after="0" w:line="19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212529"/>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212529"/>
        </w:rPr>
        <w:t>References to “APA,” the “Company,” “we,” “us,” and “our” refer to APA Corporation and its consolidated subsidiaries, including Apache Corporation, unless otherwise specifically stated. References to “Apache” refer to Apache Corporation, the Company’s wholly owned subsidiary, and its consolidated subsidiaries, unless otherwise specifically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jc w:val="center"/>
              <w:ind w:left="2699"/>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8460" w:type="dxa"/>
            <w:vAlign w:val="bottom"/>
          </w:tcPr>
          <w:p>
            <w:pPr>
              <w:jc w:val="center"/>
              <w:ind w:left="2719"/>
              <w:spacing w:after="0"/>
              <w:rPr>
                <w:sz w:val="20"/>
                <w:szCs w:val="20"/>
                <w:color w:val="auto"/>
              </w:rPr>
            </w:pPr>
            <w:r>
              <w:rPr>
                <w:rFonts w:ascii="Times New Roman" w:cs="Times New Roman" w:eastAsia="Times New Roman" w:hAnsi="Times New Roman"/>
                <w:sz w:val="16"/>
                <w:szCs w:val="16"/>
                <w:b w:val="1"/>
                <w:bCs w:val="1"/>
                <w:color w:val="auto"/>
                <w:w w:val="99"/>
              </w:rPr>
              <w:t>STATEMENT OF CONSOLIDATED OPERATIONS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8460" w:type="dxa"/>
            <w:vAlign w:val="bottom"/>
          </w:tcPr>
          <w:p>
            <w:pPr>
              <w:jc w:val="center"/>
              <w:ind w:left="26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2"/>
        </w:trPr>
        <w:tc>
          <w:tcPr>
            <w:tcW w:w="8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4"/>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For the Quarter Ended</w:t>
            </w:r>
          </w:p>
        </w:tc>
      </w:tr>
      <w:tr>
        <w:trPr>
          <w:trHeight w:val="214"/>
        </w:trPr>
        <w:tc>
          <w:tcPr>
            <w:tcW w:w="8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40" w:type="dxa"/>
            <w:vAlign w:val="bottom"/>
            <w:tcBorders>
              <w:bottom w:val="single" w:sz="8" w:color="auto"/>
            </w:tcBorders>
          </w:tcPr>
          <w:p>
            <w:pPr>
              <w:spacing w:after="0"/>
              <w:rPr>
                <w:sz w:val="18"/>
                <w:szCs w:val="18"/>
                <w:color w:val="auto"/>
              </w:rPr>
            </w:pPr>
          </w:p>
        </w:tc>
      </w:tr>
      <w:tr>
        <w:trPr>
          <w:trHeight w:val="209"/>
        </w:trPr>
        <w:tc>
          <w:tcPr>
            <w:tcW w:w="8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r>
      <w:tr>
        <w:trPr>
          <w:trHeight w:val="2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AND OTHER: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Oil, natural gas, and natural gas liquids production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Purchased oil and gas sales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07"/>
        </w:trPr>
        <w:tc>
          <w:tcPr>
            <w:tcW w:w="8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 losses,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divestitures, net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8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w:t>
            </w:r>
          </w:p>
        </w:tc>
      </w:tr>
      <w:tr>
        <w:trPr>
          <w:trHeight w:val="19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operating expenses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Gathering, processing, and transmission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Exploration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costs, net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8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income tax provision</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7"/>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16"/>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9180" w:type="dxa"/>
            <w:vAlign w:val="bottom"/>
          </w:tcPr>
          <w:p>
            <w:pPr>
              <w:jc w:val="center"/>
              <w:ind w:left="1979"/>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3"/>
        </w:trPr>
        <w:tc>
          <w:tcPr>
            <w:tcW w:w="9180" w:type="dxa"/>
            <w:vAlign w:val="bottom"/>
          </w:tcPr>
          <w:p>
            <w:pPr>
              <w:jc w:val="center"/>
              <w:ind w:left="1999"/>
              <w:spacing w:after="0"/>
              <w:rPr>
                <w:sz w:val="20"/>
                <w:szCs w:val="20"/>
                <w:color w:val="auto"/>
              </w:rPr>
            </w:pPr>
            <w:r>
              <w:rPr>
                <w:rFonts w:ascii="Times New Roman" w:cs="Times New Roman" w:eastAsia="Times New Roman" w:hAnsi="Times New Roman"/>
                <w:sz w:val="16"/>
                <w:szCs w:val="16"/>
                <w:b w:val="1"/>
                <w:bCs w:val="1"/>
                <w:color w:val="auto"/>
              </w:rPr>
              <w:t>STATEMENT OF CONSOLIDATED COMPREHENSIVE INCOME</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2"/>
        </w:trPr>
        <w:tc>
          <w:tcPr>
            <w:tcW w:w="9180" w:type="dxa"/>
            <w:vAlign w:val="bottom"/>
          </w:tcPr>
          <w:p>
            <w:pPr>
              <w:jc w:val="center"/>
              <w:ind w:left="19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81"/>
        </w:trPr>
        <w:tc>
          <w:tcPr>
            <w:tcW w:w="9180" w:type="dxa"/>
            <w:vAlign w:val="bottom"/>
          </w:tcPr>
          <w:p>
            <w:pPr>
              <w:spacing w:after="0"/>
              <w:rPr>
                <w:sz w:val="15"/>
                <w:szCs w:val="15"/>
                <w:color w:val="auto"/>
              </w:rPr>
            </w:pPr>
          </w:p>
        </w:tc>
        <w:tc>
          <w:tcPr>
            <w:tcW w:w="2060" w:type="dxa"/>
            <w:vAlign w:val="bottom"/>
            <w:gridSpan w:val="5"/>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For the Quarter Ended</w:t>
            </w:r>
          </w:p>
        </w:tc>
      </w:tr>
      <w:tr>
        <w:trPr>
          <w:trHeight w:val="214"/>
        </w:trPr>
        <w:tc>
          <w:tcPr>
            <w:tcW w:w="91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20" w:type="dxa"/>
            <w:vAlign w:val="bottom"/>
            <w:tcBorders>
              <w:bottom w:val="single" w:sz="8" w:color="auto"/>
            </w:tcBorders>
          </w:tcPr>
          <w:p>
            <w:pPr>
              <w:spacing w:after="0"/>
              <w:rPr>
                <w:sz w:val="18"/>
                <w:szCs w:val="18"/>
                <w:color w:val="auto"/>
              </w:rPr>
            </w:pPr>
          </w:p>
        </w:tc>
      </w:tr>
      <w:tr>
        <w:trPr>
          <w:trHeight w:val="210"/>
        </w:trPr>
        <w:tc>
          <w:tcPr>
            <w:tcW w:w="9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r>
      <w:tr>
        <w:trPr>
          <w:trHeight w:val="215"/>
        </w:trPr>
        <w:tc>
          <w:tcPr>
            <w:tcW w:w="9180" w:type="dxa"/>
            <w:vAlign w:val="bottom"/>
          </w:tcPr>
          <w:p>
            <w:pPr>
              <w:spacing w:after="0"/>
              <w:rPr>
                <w:sz w:val="18"/>
                <w:szCs w:val="18"/>
                <w:color w:val="auto"/>
              </w:rPr>
            </w:pPr>
          </w:p>
        </w:tc>
        <w:tc>
          <w:tcPr>
            <w:tcW w:w="1740" w:type="dxa"/>
            <w:vAlign w:val="bottom"/>
            <w:gridSpan w:val="4"/>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r>
      <w:tr>
        <w:trPr>
          <w:trHeight w:val="23"/>
        </w:trPr>
        <w:tc>
          <w:tcPr>
            <w:tcW w:w="9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543</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418</w:t>
            </w:r>
          </w:p>
        </w:tc>
      </w:tr>
      <w:tr>
        <w:trPr>
          <w:trHeight w:val="207"/>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INCLUDING NONCONTROLLING INTERESTS</w:t>
            </w:r>
          </w:p>
        </w:tc>
        <w:tc>
          <w:tcPr>
            <w:tcW w:w="6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543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418</w:t>
            </w:r>
          </w:p>
        </w:tc>
      </w:tr>
      <w:tr>
        <w:trPr>
          <w:trHeight w:val="219"/>
        </w:trPr>
        <w:tc>
          <w:tcPr>
            <w:tcW w:w="9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7"/>
        </w:trPr>
        <w:tc>
          <w:tcPr>
            <w:tcW w:w="9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w:t>
            </w:r>
          </w:p>
        </w:tc>
        <w:tc>
          <w:tcPr>
            <w:tcW w:w="6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446</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347</w:t>
            </w:r>
          </w:p>
        </w:tc>
      </w:tr>
      <w:tr>
        <w:trPr>
          <w:trHeight w:val="23"/>
        </w:trPr>
        <w:tc>
          <w:tcPr>
            <w:tcW w:w="9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STATEMENT OF CONSOLIDATED CASH FLOWS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1"/>
        </w:trPr>
        <w:tc>
          <w:tcPr>
            <w:tcW w:w="8460" w:type="dxa"/>
            <w:vAlign w:val="bottom"/>
          </w:tcPr>
          <w:p>
            <w:pPr>
              <w:spacing w:after="0"/>
              <w:rPr>
                <w:sz w:val="15"/>
                <w:szCs w:val="15"/>
                <w:color w:val="auto"/>
              </w:rPr>
            </w:pPr>
          </w:p>
        </w:tc>
        <w:tc>
          <w:tcPr>
            <w:tcW w:w="2780" w:type="dxa"/>
            <w:vAlign w:val="bottom"/>
            <w:gridSpan w:val="5"/>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4"/>
        </w:trPr>
        <w:tc>
          <w:tcPr>
            <w:tcW w:w="8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20" w:type="dxa"/>
            <w:vAlign w:val="bottom"/>
            <w:tcBorders>
              <w:bottom w:val="single" w:sz="8" w:color="auto"/>
            </w:tcBorders>
          </w:tcPr>
          <w:p>
            <w:pPr>
              <w:spacing w:after="0"/>
              <w:rPr>
                <w:sz w:val="18"/>
                <w:szCs w:val="18"/>
                <w:color w:val="auto"/>
              </w:rPr>
            </w:pPr>
          </w:p>
        </w:tc>
      </w:tr>
      <w:tr>
        <w:trPr>
          <w:trHeight w:val="210"/>
        </w:trPr>
        <w:tc>
          <w:tcPr>
            <w:tcW w:w="8460" w:type="dxa"/>
            <w:vAlign w:val="bottom"/>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8"/>
                <w:szCs w:val="18"/>
                <w:color w:val="auto"/>
              </w:rPr>
            </w:pPr>
          </w:p>
        </w:tc>
      </w:tr>
      <w:tr>
        <w:trPr>
          <w:trHeight w:val="23"/>
        </w:trPr>
        <w:tc>
          <w:tcPr>
            <w:tcW w:w="8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including noncontrolling interests</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derivative instrument losses, net</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Loss on divestitures, net</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Exploratory dry hole expense and unproved leasehold impairments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depletion, and amortization</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Asset retirement obligation accretion</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9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Receivables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Inventories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Drilling advances and other current assets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charges and other long-term assets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Accounts payable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Deferred credits and noncurrent liabilities</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4"/>
        </w:trPr>
        <w:tc>
          <w:tcPr>
            <w:tcW w:w="8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w:t>
            </w:r>
          </w:p>
        </w:tc>
      </w:tr>
      <w:tr>
        <w:trPr>
          <w:trHeight w:val="20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Additions to upstream oil and gas property</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Leasehold and property acquisitions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commercial paper and revolving credit facilities, net</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on term loan facility</w:t>
            </w:r>
          </w:p>
        </w:tc>
        <w:tc>
          <w:tcPr>
            <w:tcW w:w="9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Fixed-rate debt borrowings</w:t>
            </w:r>
          </w:p>
        </w:tc>
        <w:tc>
          <w:tcPr>
            <w:tcW w:w="9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on fixed-rate debt</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to noncontrolling interest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stock activity, net</w:t>
            </w:r>
          </w:p>
        </w:tc>
        <w:tc>
          <w:tcPr>
            <w:tcW w:w="9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 to APA common stockholders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20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w:t>
            </w:r>
          </w:p>
        </w:tc>
      </w:tr>
      <w:tr>
        <w:trPr>
          <w:trHeight w:val="216"/>
        </w:trPr>
        <w:tc>
          <w:tcPr>
            <w:tcW w:w="8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w:t>
            </w:r>
          </w:p>
        </w:tc>
      </w:tr>
      <w:tr>
        <w:trPr>
          <w:trHeight w:val="20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w:t>
            </w:r>
          </w:p>
        </w:tc>
      </w:tr>
      <w:tr>
        <w:trPr>
          <w:trHeight w:val="22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SUPPLEMENTARY CASH FLOW DATA:</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paid, net of capitalized interest</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paid, net of refunds</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20" w:type="dxa"/>
            <w:vAlign w:val="bottom"/>
            <w:gridSpan w:val="5"/>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20" w:type="dxa"/>
            <w:vAlign w:val="bottom"/>
            <w:gridSpan w:val="5"/>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60" w:type="dxa"/>
            <w:vAlign w:val="bottom"/>
          </w:tcPr>
          <w:p>
            <w:pPr>
              <w:jc w:val="center"/>
              <w:ind w:right="2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1"/>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5"/>
                <w:szCs w:val="15"/>
                <w:color w:val="auto"/>
              </w:rPr>
            </w:pPr>
          </w:p>
        </w:tc>
        <w:tc>
          <w:tcPr>
            <w:tcW w:w="118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20" w:type="dxa"/>
            <w:vAlign w:val="bottom"/>
            <w:gridSpan w:val="5"/>
            <w:shd w:val="clear" w:color="auto" w:fill="CCEEFF"/>
          </w:tcPr>
          <w:p>
            <w:pPr>
              <w:jc w:val="center"/>
              <w:ind w:right="24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15"/>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$137 and $140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9"/>
        </w:trPr>
        <w:tc>
          <w:tcPr>
            <w:tcW w:w="8460" w:type="dxa"/>
            <w:vAlign w:val="bottom"/>
            <w:gridSpan w:val="15"/>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Other current assets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543</w:t>
            </w:r>
          </w:p>
        </w:tc>
      </w:tr>
      <w:tr>
        <w:trPr>
          <w:trHeight w:val="207"/>
        </w:trPr>
        <w:tc>
          <w:tcPr>
            <w:tcW w:w="14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200" w:type="dxa"/>
            <w:vAlign w:val="bottom"/>
            <w:tcBorders>
              <w:top w:val="single" w:sz="8" w:color="0000FF"/>
              <w:bottom w:val="single" w:sz="8" w:color="CCEEFF"/>
            </w:tcBorders>
          </w:tcPr>
          <w:p>
            <w:pPr>
              <w:spacing w:after="0"/>
              <w:rPr>
                <w:sz w:val="17"/>
                <w:szCs w:val="17"/>
                <w:color w:val="auto"/>
              </w:rPr>
            </w:pPr>
          </w:p>
        </w:tc>
        <w:tc>
          <w:tcPr>
            <w:tcW w:w="100" w:type="dxa"/>
            <w:vAlign w:val="bottom"/>
            <w:tcBorders>
              <w:top w:val="single" w:sz="8" w:color="0000FF"/>
              <w:bottom w:val="single" w:sz="8" w:color="CCEEFF"/>
            </w:tcBorders>
          </w:tcPr>
          <w:p>
            <w:pPr>
              <w:spacing w:after="0"/>
              <w:rPr>
                <w:sz w:val="17"/>
                <w:szCs w:val="17"/>
                <w:color w:val="auto"/>
              </w:rPr>
            </w:pPr>
          </w:p>
        </w:tc>
        <w:tc>
          <w:tcPr>
            <w:tcW w:w="12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CCEEFF"/>
              <w:bottom w:val="single" w:sz="8" w:color="CCEEFF"/>
            </w:tcBorders>
          </w:tcPr>
          <w:p>
            <w:pPr>
              <w:spacing w:after="0"/>
              <w:rPr>
                <w:sz w:val="17"/>
                <w:szCs w:val="17"/>
                <w:color w:val="auto"/>
              </w:rPr>
            </w:pPr>
          </w:p>
        </w:tc>
        <w:tc>
          <w:tcPr>
            <w:tcW w:w="186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33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w:t>
            </w:r>
          </w:p>
        </w:tc>
      </w:tr>
      <w:tr>
        <w:trPr>
          <w:trHeight w:val="199"/>
        </w:trPr>
        <w:tc>
          <w:tcPr>
            <w:tcW w:w="84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Oil and gas properties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45,507</w:t>
            </w:r>
          </w:p>
        </w:tc>
      </w:tr>
      <w:tr>
        <w:trPr>
          <w:trHeight w:val="219"/>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Gathering, processing, and transmission facilities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6"/>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depletion,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(33,740)</w:t>
            </w:r>
          </w:p>
        </w:tc>
      </w:tr>
      <w:tr>
        <w:trPr>
          <w:trHeight w:val="210"/>
        </w:trPr>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12,748</w:t>
            </w:r>
          </w:p>
        </w:tc>
      </w:tr>
      <w:tr>
        <w:trPr>
          <w:trHeight w:val="199"/>
        </w:trPr>
        <w:tc>
          <w:tcPr>
            <w:tcW w:w="84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5"/>
        </w:trPr>
        <w:tc>
          <w:tcPr>
            <w:tcW w:w="8460" w:type="dxa"/>
            <w:vAlign w:val="bottom"/>
            <w:gridSpan w:val="15"/>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security for sold Gulf of America properties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r>
      <w:tr>
        <w:trPr>
          <w:trHeight w:val="21"/>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6"/>
        </w:trPr>
        <w:tc>
          <w:tcPr>
            <w:tcW w:w="8460" w:type="dxa"/>
            <w:vAlign w:val="bottom"/>
            <w:gridSpan w:val="15"/>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Deferred tax asset (</w:t>
            </w:r>
            <w:r>
              <w:rPr>
                <w:rFonts w:ascii="Times New Roman" w:cs="Times New Roman" w:eastAsia="Times New Roman" w:hAnsi="Times New Roman"/>
                <w:sz w:val="16"/>
                <w:szCs w:val="16"/>
                <w:color w:val="0000FF"/>
              </w:rPr>
              <w:t>Note 9</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2,328</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8460" w:type="dxa"/>
            <w:vAlign w:val="bottom"/>
            <w:tcBorders>
              <w:bottom w:val="single" w:sz="8" w:color="CCEEFF"/>
            </w:tcBorders>
            <w:gridSpan w:val="15"/>
          </w:tcPr>
          <w:p>
            <w:pPr>
              <w:ind w:left="1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5"/>
        </w:trPr>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17,761</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720" w:type="dxa"/>
            <w:vAlign w:val="bottom"/>
            <w:gridSpan w:val="11"/>
            <w:shd w:val="clear" w:color="auto" w:fill="CCEEFF"/>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LIABILITIES, NONCONTROLLING INTERESTS, AND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15"/>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Current debt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8460" w:type="dxa"/>
            <w:vAlign w:val="bottom"/>
            <w:gridSpan w:val="15"/>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Other current liabilities (</w:t>
            </w:r>
            <w:r>
              <w:rPr>
                <w:rFonts w:ascii="Times New Roman" w:cs="Times New Roman" w:eastAsia="Times New Roman" w:hAnsi="Times New Roman"/>
                <w:sz w:val="16"/>
                <w:szCs w:val="16"/>
                <w:color w:val="0000FF"/>
              </w:rPr>
              <w:t>Note 6</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1,487</w:t>
            </w:r>
          </w:p>
        </w:tc>
      </w:tr>
      <w:tr>
        <w:trPr>
          <w:trHeight w:val="207"/>
        </w:trPr>
        <w:tc>
          <w:tcPr>
            <w:tcW w:w="14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0000FF"/>
              <w:bottom w:val="single" w:sz="8" w:color="CCEEFF"/>
            </w:tcBorders>
          </w:tcPr>
          <w:p>
            <w:pPr>
              <w:spacing w:after="0"/>
              <w:rPr>
                <w:sz w:val="17"/>
                <w:szCs w:val="17"/>
                <w:color w:val="auto"/>
              </w:rPr>
            </w:pPr>
          </w:p>
        </w:tc>
        <w:tc>
          <w:tcPr>
            <w:tcW w:w="12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180" w:type="dxa"/>
            <w:vAlign w:val="bottom"/>
            <w:tcBorders>
              <w:top w:val="single" w:sz="8" w:color="0000FF"/>
              <w:bottom w:val="single" w:sz="8" w:color="CCEEFF"/>
            </w:tcBorders>
          </w:tcPr>
          <w:p>
            <w:pPr>
              <w:spacing w:after="0"/>
              <w:rPr>
                <w:sz w:val="17"/>
                <w:szCs w:val="17"/>
                <w:color w:val="auto"/>
              </w:rPr>
            </w:pPr>
          </w:p>
        </w:tc>
        <w:tc>
          <w:tcPr>
            <w:tcW w:w="260" w:type="dxa"/>
            <w:vAlign w:val="bottom"/>
            <w:tcBorders>
              <w:top w:val="single" w:sz="8" w:color="CCEEFF"/>
              <w:bottom w:val="single" w:sz="8" w:color="CCEEFF"/>
            </w:tcBorders>
          </w:tcPr>
          <w:p>
            <w:pPr>
              <w:spacing w:after="0"/>
              <w:rPr>
                <w:sz w:val="17"/>
                <w:szCs w:val="17"/>
                <w:color w:val="auto"/>
              </w:rPr>
            </w:pPr>
          </w:p>
        </w:tc>
        <w:tc>
          <w:tcPr>
            <w:tcW w:w="1860" w:type="dxa"/>
            <w:vAlign w:val="bottom"/>
            <w:tcBorders>
              <w:top w:val="single" w:sz="8" w:color="CCEEFF"/>
              <w:bottom w:val="single" w:sz="8" w:color="CCEEFF"/>
            </w:tcBorders>
          </w:tcPr>
          <w:p>
            <w:pPr>
              <w:spacing w:after="0"/>
              <w:rPr>
                <w:sz w:val="17"/>
                <w:szCs w:val="17"/>
                <w:color w:val="auto"/>
              </w:rPr>
            </w:pPr>
          </w:p>
        </w:tc>
        <w:tc>
          <w:tcPr>
            <w:tcW w:w="3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33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158"/>
        </w:trPr>
        <w:tc>
          <w:tcPr>
            <w:tcW w:w="8460" w:type="dxa"/>
            <w:vAlign w:val="bottom"/>
            <w:gridSpan w:val="15"/>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color w:val="auto"/>
              </w:rPr>
              <w:t>LONG-TERM DEBT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4,280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4,280</w:t>
            </w:r>
          </w:p>
        </w:tc>
      </w:tr>
      <w:tr>
        <w:trPr>
          <w:trHeight w:val="34"/>
        </w:trPr>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4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bottom w:val="single" w:sz="8" w:color="auto"/>
            </w:tcBorders>
            <w:shd w:val="clear" w:color="auto" w:fill="CCEEFF"/>
          </w:tcPr>
          <w:p>
            <w:pPr>
              <w:spacing w:after="0"/>
              <w:rPr>
                <w:sz w:val="2"/>
                <w:szCs w:val="2"/>
                <w:color w:val="auto"/>
              </w:rPr>
            </w:pPr>
          </w:p>
        </w:tc>
        <w:tc>
          <w:tcPr>
            <w:tcW w:w="1180" w:type="dxa"/>
            <w:vAlign w:val="bottom"/>
            <w:tcBorders>
              <w:top w:val="single" w:sz="8" w:color="CCEEFF"/>
              <w:bottom w:val="single" w:sz="8" w:color="auto"/>
            </w:tcBorders>
            <w:shd w:val="clear" w:color="auto" w:fill="CCEEFF"/>
          </w:tcPr>
          <w:p>
            <w:pPr>
              <w:spacing w:after="0"/>
              <w:rPr>
                <w:sz w:val="2"/>
                <w:szCs w:val="2"/>
                <w:color w:val="auto"/>
              </w:rPr>
            </w:pPr>
          </w:p>
        </w:tc>
      </w:tr>
      <w:tr>
        <w:trPr>
          <w:trHeight w:val="193"/>
        </w:trPr>
        <w:tc>
          <w:tcPr>
            <w:tcW w:w="8460" w:type="dxa"/>
            <w:vAlign w:val="bottom"/>
            <w:gridSpan w:val="15"/>
          </w:tcPr>
          <w:p>
            <w:pPr>
              <w:ind w:left="20"/>
              <w:spacing w:after="0"/>
              <w:rPr>
                <w:sz w:val="20"/>
                <w:szCs w:val="20"/>
                <w:color w:val="auto"/>
              </w:rPr>
            </w:pPr>
            <w:r>
              <w:rPr>
                <w:rFonts w:ascii="Times New Roman" w:cs="Times New Roman" w:eastAsia="Times New Roman" w:hAnsi="Times New Roman"/>
                <w:sz w:val="16"/>
                <w:szCs w:val="16"/>
                <w:color w:val="auto"/>
              </w:rPr>
              <w:t>DEFERRED CREDITS AND OTHER NONCURRENT LIABILITIES: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8460" w:type="dxa"/>
            <w:vAlign w:val="bottom"/>
            <w:gridSpan w:val="15"/>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Asset retirement obligation (</w:t>
            </w:r>
            <w:r>
              <w:rPr>
                <w:rFonts w:ascii="Times New Roman" w:cs="Times New Roman" w:eastAsia="Times New Roman" w:hAnsi="Times New Roman"/>
                <w:sz w:val="16"/>
                <w:szCs w:val="16"/>
                <w:color w:val="0000FF"/>
              </w:rPr>
              <w:t>Note 7</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2,699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2,699</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15"/>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contingency for sold Gulf of America properties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782</w:t>
            </w:r>
          </w:p>
        </w:tc>
      </w:tr>
      <w:tr>
        <w:trPr>
          <w:trHeight w:val="20"/>
        </w:trPr>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3"/>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0"/>
        </w:trPr>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199"/>
        </w:trPr>
        <w:tc>
          <w:tcPr>
            <w:tcW w:w="84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Common stock, $0.625 par, 860,000,000 shares authorized, 492,518,076 and 492,038,127 shares issued, respectively</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9"/>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r>
      <w:tr>
        <w:trPr>
          <w:trHeight w:val="213"/>
        </w:trPr>
        <w:tc>
          <w:tcPr>
            <w:tcW w:w="8460" w:type="dxa"/>
            <w:vAlign w:val="bottom"/>
            <w:gridSpan w:val="15"/>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9"/>
        </w:trPr>
        <w:tc>
          <w:tcPr>
            <w:tcW w:w="846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139,073,481 and 139,073,481 shares, respectively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w:t>
            </w:r>
          </w:p>
        </w:tc>
      </w:tr>
      <w:tr>
        <w:trPr>
          <w:trHeight w:val="213"/>
        </w:trPr>
        <w:tc>
          <w:tcPr>
            <w:tcW w:w="8460" w:type="dxa"/>
            <w:vAlign w:val="bottom"/>
            <w:tcBorders>
              <w:bottom w:val="single" w:sz="8" w:color="CCEEFF"/>
            </w:tcBorders>
            <w:gridSpan w:val="15"/>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460" w:type="dxa"/>
            <w:vAlign w:val="bottom"/>
            <w:gridSpan w:val="1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APA 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w:t>
            </w:r>
          </w:p>
        </w:tc>
      </w:tr>
      <w:tr>
        <w:trPr>
          <w:trHeight w:val="213"/>
        </w:trPr>
        <w:tc>
          <w:tcPr>
            <w:tcW w:w="8460" w:type="dxa"/>
            <w:vAlign w:val="bottom"/>
            <w:tcBorders>
              <w:bottom w:val="single" w:sz="8" w:color="CCEEFF"/>
            </w:tcBorders>
            <w:gridSpan w:val="15"/>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210"/>
        </w:trPr>
        <w:tc>
          <w:tcPr>
            <w:tcW w:w="8460" w:type="dxa"/>
            <w:vAlign w:val="bottom"/>
            <w:gridSpan w:val="15"/>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r>
      <w:tr>
        <w:trPr>
          <w:trHeight w:val="210"/>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17,761</w:t>
            </w: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CONSOLIDATED CHANGES IN EQUITY AND NONCONTROLLING INTERESTS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APA</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13,153</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($0.25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6"/>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12,816</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($0.25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APA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APA Corporation (APA or the Company) without audit, pursuant to the rules and regulations of the Securities and Exchange Commission (SEC).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2025, which contains a summary of the Company’s significant accounting policies and other disclosures.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significant accounting policies are consistent with those discussed in Note 1—Summary of Significant Accounting Policies of the Notes to Consolidated Financial Statements contained in the Company’s Annual Report on Form 10-K for the fiscal year ended December 31, 2025. The Company’s financial statements for prior periods may include reclassifications that were made to conform to the current-year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APA and its subsidiaries after elimination of intercompany balances and transactions.</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The Company has determined that a limited partnership and APA subsidiary, which has control over APA’s Egyptian operations, qualifies as a variable interest entity (VIE). Apache consolidates the activities of APA’s Egyptian operations because it has concluded that a wholly owned subsidiary has a controlling financial interest in APA’s Egyptian operations and was determined to be the primary beneficiary of the VIE.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4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the assessment of asset retirement obligations (refer to </w:t>
      </w:r>
      <w:r>
        <w:rPr>
          <w:rFonts w:ascii="Times New Roman" w:cs="Times New Roman" w:eastAsia="Times New Roman" w:hAnsi="Times New Roman"/>
          <w:sz w:val="18"/>
          <w:szCs w:val="18"/>
          <w:u w:val="single" w:color="auto"/>
          <w:color w:val="0000FF"/>
        </w:rPr>
        <w:t>Note 7—Asset Retirement Obligation</w:t>
      </w:r>
      <w:r>
        <w:rPr>
          <w:rFonts w:ascii="Times New Roman" w:cs="Times New Roman" w:eastAsia="Times New Roman" w:hAnsi="Times New Roman"/>
          <w:sz w:val="18"/>
          <w:szCs w:val="18"/>
          <w:color w:val="auto"/>
        </w:rPr>
        <w:t xml:space="preserve">), the estimate of income taxes (refer to </w:t>
      </w:r>
      <w:r>
        <w:rPr>
          <w:rFonts w:ascii="Times New Roman" w:cs="Times New Roman" w:eastAsia="Times New Roman" w:hAnsi="Times New Roman"/>
          <w:sz w:val="18"/>
          <w:szCs w:val="18"/>
          <w:u w:val="single" w:color="auto"/>
          <w:color w:val="0000FF"/>
        </w:rPr>
        <w:t>Note 9—Income Taxes</w:t>
      </w:r>
      <w:r>
        <w:rPr>
          <w:rFonts w:ascii="Times New Roman" w:cs="Times New Roman" w:eastAsia="Times New Roman" w:hAnsi="Times New Roman"/>
          <w:sz w:val="18"/>
          <w:szCs w:val="18"/>
          <w:color w:val="auto"/>
        </w:rPr>
        <w:t xml:space="preserve">), the estimation of the contingent liability representing Apache’s potential decommissioning obligations on sold properties in the Gulf of America (refer to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10—Commitments and Contingencies</w:t>
      </w:r>
      <w:r>
        <w:rPr>
          <w:rFonts w:ascii="Times New Roman" w:cs="Times New Roman" w:eastAsia="Times New Roman" w:hAnsi="Times New Roman"/>
          <w:sz w:val="18"/>
          <w:szCs w:val="18"/>
          <w:color w:val="000000"/>
        </w:rPr>
        <w:t>), and the estimate of proved oil and gas reserves and related present value estimates of future net cash flows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therefrom.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4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4—Derivative Instruments and Hedging Activities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8—Debt and Financing Costs</w:t>
      </w:r>
      <w:r>
        <w:rPr>
          <w:rFonts w:ascii="Times New Roman" w:cs="Times New Roman" w:eastAsia="Times New Roman" w:hAnsi="Times New Roman"/>
          <w:sz w:val="18"/>
          <w:szCs w:val="18"/>
          <w:color w:val="auto"/>
        </w:rPr>
        <w:t xml:space="preserve"> for further detail regarding the Company’s fair value measurements recorded on a recurring basis.</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also uses fair value measurements on a nonrecurring basis when certain qualitative assessments of its assets indicate a potential impairment or when allocating the purchase price for acquired assets and liabilities in a business combination. The carrying amounts of cash and cash equivalents, accounts receivable, and accounts payable approximate fair value due to the short-term nature and maturities of these instruments.</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each of the quarters ended March 31, 2026 and March 31, 2025, the Company recorded no asset impairments in connection with fair value assessments.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Receivables from contracts with customers, including receivables for purchased oil and gas sales and net of allowance for credit losses, were $1.2 billion and $826 million as of March 31, 2026 and December 31, 2025, respectively. Payments under all contracts with customers are typically due and received within a short-term period of one year or less, after physical delivery of the product or service has been rendered. The Company monitors its receivable balance and exposure as part of its ongoing credit risk management process.</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Oil and gas production revenues include income taxes that will be paid to the Arab Republic of Egypt by Egypt General Petroleum Corporation on behalf of the Company. Revenue and associated expenses related to such tax volumes are recorded as “Oil, natural gas, and natural gas liquids production revenues” and “Current income tax provision,” respectively, in the Company’s statement of consolidated operations.</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12—Business Segment Information</w:t>
      </w:r>
      <w:r>
        <w:rPr>
          <w:rFonts w:ascii="Times New Roman" w:cs="Times New Roman" w:eastAsia="Times New Roman" w:hAnsi="Times New Roman"/>
          <w:sz w:val="18"/>
          <w:szCs w:val="18"/>
          <w:color w:val="auto"/>
        </w:rPr>
        <w:t xml:space="preserve"> for a disaggregation of oil, natural gas, and natural gas liquids production revenue by product and reporting segment.</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 No inventory impairments were recognized in either of the quarters ended March 31, 2026 and March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Oil and Gas Property</w:t>
      </w:r>
    </w:p>
    <w:p>
      <w:pPr>
        <w:spacing w:after="0" w:line="2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w:t>
      </w:r>
    </w:p>
    <w:p>
      <w:pPr>
        <w:spacing w:after="0" w:line="14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The Company recorded no proved oil and gas property impairments during either of the quarters ended March 31, 2026 and March 31, 2025.</w:t>
      </w:r>
    </w:p>
    <w:p>
      <w:pPr>
        <w:spacing w:after="0" w:line="16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Unproved leasehold impairments are typically recorded as a component of “Exploration” expense in the Company’s statement of consolidated operations. Losses on divestitures of the Company’s oil and gas properties are recognized under “Loss on divestitures, net” in the statement of consolidated operations upon closing of the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Reorganization, and Separation (TRS)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recorded $7 million and $37 million of TRS costs during the quarters ended March 31, 2026 and March 31, 2025, respectively. TRS costs incurred in the first quarters of 2026 and 2025 comprised primarily employee separations, organization restructuring, and other cost-saving initiatives.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Pronouncements Issued But Not Yet Adopted</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recently issued or adopted accounting standards from those disclosed in the Company’s Annual Report on Form 10-K for the fiscal year ended December 31, 2025 that would have an expected material effect on the Company.</w:t>
      </w:r>
    </w:p>
    <w:p>
      <w:pPr>
        <w:spacing w:after="0" w:line="158" w:lineRule="exact"/>
        <w:rPr>
          <w:sz w:val="20"/>
          <w:szCs w:val="20"/>
          <w:color w:val="auto"/>
        </w:rPr>
      </w:pPr>
    </w:p>
    <w:p>
      <w:pPr>
        <w:ind w:right="7780" w:firstLine="8"/>
        <w:spacing w:after="0" w:line="461" w:lineRule="auto"/>
        <w:tabs>
          <w:tab w:leader="none" w:pos="3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DIVESTITURES </w:t>
      </w:r>
      <w:r>
        <w:rPr>
          <w:rFonts w:ascii="Times New Roman" w:cs="Times New Roman" w:eastAsia="Times New Roman" w:hAnsi="Times New Roman"/>
          <w:sz w:val="18"/>
          <w:szCs w:val="18"/>
          <w:b w:val="1"/>
          <w:bCs w:val="1"/>
          <w:u w:val="single" w:color="auto"/>
          <w:color w:val="auto"/>
        </w:rPr>
        <w:t>2026 Activity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Leasehold and Property Acquisitions</w:t>
      </w:r>
    </w:p>
    <w:p>
      <w:pPr>
        <w:spacing w:after="0" w:line="18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the Company completed leasehold acquisitions, primarily in the Permian Basin, for aggregate cash consideration of approximately $4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Activity</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Leasehold and Property Acquisitions</w:t>
      </w:r>
    </w:p>
    <w:p>
      <w:pPr>
        <w:spacing w:after="0" w:line="18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completed leasehold acquisitions, primarily in the Permian Basin, for aggregate cash consideration of approximately $13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CAPITALIZED EXPLORATORY WELL COSTS</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capitalized exploratory well costs were $344 million and $338 million as of March 31, 2026 and December 31, 2025, respectively. The increase is attributable to additional drilling activity partially offset by successful transfer of well costs in Egypt. No suspended exploratory well costs previously capitalized for greater than one year at December 31, 2025 were charged to dry hole expense during the first quarter of 2026. Similarly, during the first quarter of 2025, no such costs were charged to dry hole expense.</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pacing w:after="0" w:line="172" w:lineRule="exact"/>
        <w:rPr>
          <w:sz w:val="20"/>
          <w:szCs w:val="20"/>
          <w:color w:val="auto"/>
        </w:rPr>
      </w:pPr>
    </w:p>
    <w:p>
      <w:pPr>
        <w:ind w:right="5980" w:firstLine="8"/>
        <w:spacing w:after="0" w:line="456"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b w:val="1"/>
          <w:bCs w:val="1"/>
          <w:u w:val="single" w:color="auto"/>
          <w:color w:val="auto"/>
        </w:rPr>
        <w:t>Objectives and Strategies</w:t>
      </w: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utilizes various types of derivative financial instruments, including forward contracts, futures contracts, swaps, and options, to manage fluctuations in cash flows resulting from changes in commodity prices or foreign currency values. The Company has elected not to designate any of its derivative contracts as cash flow hedges.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Counterparty Risk</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use of derivative instruments exposes the Company to credit loss in the event of nonperformance by the counterparty. To reduce the concentration of exposure to any individual counterparty, the Company utilizes a diversified group of investment-grade rated counterparties, primarily financial institutions, for its derivative transactions. As of March 31, 2026, the Company had derivative positions with 11 counterparties. The Company monitors counterparty creditworthiness on an ongoing basis; however, it cannot predict sudden changes in counterparties’ creditworthiness. In addition, even if such changes are not sudden, the Company may be limited in its ability to mitigate an increase in counterparty credit risk. Should one of these counterparties not perform, the Company may not realize the benefit of some of its derivative instruments resulting from lower commodity prices.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Commodity Derivative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the Company had the following open natural gas financial basis swap contracts: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24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Basis Swap Purchased</w:t>
            </w:r>
          </w:p>
        </w:tc>
        <w:tc>
          <w:tcPr>
            <w:tcW w:w="31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Basis Swap Sold</w:t>
            </w:r>
          </w:p>
        </w:tc>
        <w:tc>
          <w:tcPr>
            <w:tcW w:w="0" w:type="dxa"/>
            <w:vAlign w:val="bottom"/>
          </w:tcPr>
          <w:p>
            <w:pPr>
              <w:spacing w:after="0"/>
              <w:rPr>
                <w:sz w:val="1"/>
                <w:szCs w:val="1"/>
                <w:color w:val="auto"/>
              </w:rPr>
            </w:pPr>
          </w:p>
        </w:tc>
      </w:tr>
      <w:tr>
        <w:trPr>
          <w:trHeight w:val="162"/>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Period</w:t>
            </w:r>
          </w:p>
        </w:tc>
        <w:tc>
          <w:tcPr>
            <w:tcW w:w="2920" w:type="dxa"/>
            <w:vAlign w:val="bottom"/>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Settlement Index</w:t>
            </w:r>
          </w:p>
        </w:tc>
        <w:tc>
          <w:tcPr>
            <w:tcW w:w="1620" w:type="dxa"/>
            <w:vAlign w:val="bottom"/>
            <w:tcBorders>
              <w:top w:val="single" w:sz="8" w:color="auto"/>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MMBtu</w:t>
            </w:r>
          </w:p>
        </w:tc>
        <w:tc>
          <w:tcPr>
            <w:tcW w:w="150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4"/>
                <w:szCs w:val="14"/>
                <w:color w:val="auto"/>
              </w:rPr>
            </w:pPr>
          </w:p>
        </w:tc>
        <w:tc>
          <w:tcPr>
            <w:tcW w:w="1620" w:type="dxa"/>
            <w:vAlign w:val="bottom"/>
            <w:tcBorders>
              <w:top w:val="single" w:sz="8" w:color="auto"/>
            </w:tcBorders>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MMBtu</w:t>
            </w:r>
          </w:p>
        </w:tc>
        <w:tc>
          <w:tcPr>
            <w:tcW w:w="15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19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000’s)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Differential</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000’s)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Differential</w:t>
            </w: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April—December 2026</w:t>
            </w:r>
          </w:p>
        </w:tc>
        <w:tc>
          <w:tcPr>
            <w:tcW w:w="2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NYMEX Henry Hub/IF Waha</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67,375</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$(1.96)</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Derivative Instruments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open foreign currency costless collar contracts in GBP/USD for £12 million per each calendar month for 2026, with a weighted average floor and ceiling price of $1.32 and $1.40 per GBP,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derivative assets and liabilities measured at fair value on a recurring basis: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 in</w:t>
            </w:r>
          </w:p>
        </w:tc>
        <w:tc>
          <w:tcPr>
            <w:tcW w:w="14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Netting</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7"/>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derivative instruments</w:t>
            </w:r>
          </w:p>
        </w:tc>
        <w:tc>
          <w:tcPr>
            <w:tcW w:w="1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derivative fair values are based on analysis of each contract on a gross basis, excluding the impact of netting agreements with counterparties.</w:t>
      </w:r>
    </w:p>
    <w:p>
      <w:pPr>
        <w:spacing w:after="0" w:line="1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not actively quoted in the open market. The Company primarily uses a market approach to estimate the fair values of these derivatives on a recurring basis, utilizing futures pricing for the underlying positions provided by a reputable third party, a Level 2 fair value measurement.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Recorded in the Consolidated Balance Sheet</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All derivative instruments are reflected as either assets or liabilities at fair value in the consolidated balance sheet. These fair values are recorded by netting asset and liability positions where counterparty master netting arrangements contain provisions for net settlement. The carrying value of the Company’s derivative assets and/or liabilities and their locations on the consolidated balance sheet are as follows:</w:t>
      </w: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4"/>
                <w:szCs w:val="14"/>
                <w:color w:val="auto"/>
              </w:rPr>
            </w:pPr>
          </w:p>
        </w:tc>
      </w:tr>
      <w:tr>
        <w:trPr>
          <w:trHeight w:val="214"/>
        </w:trPr>
        <w:tc>
          <w:tcPr>
            <w:tcW w:w="8080" w:type="dxa"/>
            <w:vAlign w:val="bottom"/>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8"/>
                <w:szCs w:val="18"/>
                <w:color w:val="auto"/>
              </w:rPr>
            </w:pPr>
          </w:p>
        </w:tc>
      </w:tr>
      <w:tr>
        <w:trPr>
          <w:trHeight w:val="215"/>
        </w:trPr>
        <w:tc>
          <w:tcPr>
            <w:tcW w:w="8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Other current liabilities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9"/>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
        </w:trPr>
        <w:tc>
          <w:tcPr>
            <w:tcW w:w="8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Recorded in the Statement of Consolidated Operations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statement of consolidated operations:</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r>
      <w:tr>
        <w:trPr>
          <w:trHeight w:val="24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Realized losses, net</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(28)</w:t>
            </w:r>
          </w:p>
        </w:tc>
      </w:tr>
      <w:tr>
        <w:trPr>
          <w:trHeight w:val="240"/>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derivative instruments</w:t>
            </w: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losses, net</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instrument losses, net</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rPr>
              <w:t>(28)</w:t>
            </w:r>
          </w:p>
        </w:tc>
      </w:tr>
      <w:tr>
        <w:trPr>
          <w:trHeight w:val="21"/>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Derivative instrument losses are recorded in “Derivative instrument losses, net” under “Revenues and Other” in the Company’s statement of consolidated operations. Unrealized losses for derivative activity recorded in the statement of consolidated operations are reflected in the statement of consolidated cash flows separately as “Unrealized derivative instrument losses, net” under “Adjustments to reconcile net income to net cash provided by operating activities.”</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assets:</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80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Drilling advances</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decommissioning security for sold Gulf of America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assets and other</w:t>
            </w: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OTHER CURRENT LIABILITIES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1"/>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liabilities: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9"/>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exploration and development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 retirement obligation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decommissioning contingency for sold Gulf of America properties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ASSET RETIREMENT OBLIGATION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describes changes to the Company’s asset retirement obligation (ARO) liability: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2026</w:t>
            </w:r>
          </w:p>
        </w:tc>
      </w:tr>
      <w:tr>
        <w:trPr>
          <w:trHeight w:val="192"/>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 December 31, 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 incurred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settled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expense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Revisions in estimated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March 31, 2026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w:t>
            </w:r>
          </w:p>
        </w:tc>
      </w:tr>
      <w:tr>
        <w:trPr>
          <w:trHeight w:val="216"/>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long-term</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21"/>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DEBT AND FINANCING COSTS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carrying values of the Company’s debt: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APA notes and debentures before unamortized discount and debt issuance costs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r>
      <w:tr>
        <w:trPr>
          <w:trHeight w:val="216"/>
        </w:trPr>
        <w:tc>
          <w:tcPr>
            <w:tcW w:w="8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Apache notes and debentures before unamortized discount and debt issuance costs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Apache finance lease obligations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discount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the APA notes and debentures were $3.4 billion as of each of March 31, 2026 and December 31, 2025.</w:t>
      </w:r>
    </w:p>
    <w:p>
      <w:pPr>
        <w:spacing w:after="0" w:line="68" w:lineRule="exact"/>
        <w:rPr>
          <w:rFonts w:ascii="Times New Roman" w:cs="Times New Roman" w:eastAsia="Times New Roman" w:hAnsi="Times New Roman"/>
          <w:sz w:val="14"/>
          <w:szCs w:val="14"/>
          <w:color w:val="auto"/>
        </w:rPr>
      </w:pPr>
    </w:p>
    <w:p>
      <w:pPr>
        <w:ind w:left="260" w:right="20" w:hanging="252"/>
        <w:spacing w:after="0" w:line="302"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the Apache notes and debentures were $851 million and $881 million as of March 31, 2026 and December 31, 2025, respectively. The Company uses a market approach to determine the fair values of its notes and debentures using estimates provided by an independent investment financial data services firm (a Level 2 fair value measurement).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each of March 31, 2026 and December 31, 2025, current debt included $2 million of finance lease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Costs, Net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costs, net:</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costs,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Indenture Debt Activity</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March 15, 2026, APA and Apache repaid in cash on maturity the outstanding $79 million aggregate principal amount of their respective 7.70% Notes due 2026, plus accrued and unpaid interest to the maturity date.</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spacing w:after="0" w:line="14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2025, Apache purchased in the open market and canceled senior notes issued under its indentures in an aggregate principal amount of $55 million for an aggregate purchase price of $50 million in cash, including accrued interest and broker fees, reflecting a discount to par of an aggregate $7 million. The Company recognized a $7 million gain on these repurchases. The repurchases were partially financed by APA’s borrowing under the Company’s commercial paper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Committed Credit Facilities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15, 2025, the Company entered into two unsecured syndicated credit agreements for general corporate purposes:</w:t>
      </w:r>
    </w:p>
    <w:p>
      <w:pPr>
        <w:spacing w:after="0" w:line="185"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spacing w:after="0" w:line="14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Uncommitted Lines of Credit</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Each of the Company and Apache, from time to time, has and uses uncommitted credit and letter of credit facilities for working capital and credit support purposes. As of March 31, 2026 and December 31, 2025, there were no outstanding borrowings under these facilities. As of March 31, 2026, there were £567 million and $10 million in letters of credit outstanding under these facilities. As of December 31, 2025, there were £901 million and $10 million in letters of credit outstanding under these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Paper Program</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has a commercial paper program under which it from time to time may issue in private placements exempt from registration under the Securities Act 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March 31, 2026, included the $2.0 billion USD Agreement.</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CP Notes are sold under customary market terms in the U.S. commercial paper market at a discount from par or at par and bear interest at rates determined at the time of issuance.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of March 31, 2026 and December 31, 2025, the Company had no CP Notes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Events—Indenture Debt Activity</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6, 2026, APA and Apache fully redeemed their respective 4.875% Notes due 2027 and 4.375% Notes due 2028. Note holders were paid an aggregate $425 million in cash (comprised of outstanding principal amounts and make-whole premiums), plus accrued and unpaid interest to the redemption date.</w:t>
      </w:r>
    </w:p>
    <w:p>
      <w:pPr>
        <w:spacing w:after="0" w:line="14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April 15, 2026, APA and Apache repaid in cash on maturity the outstanding $132 million aggregate principal amount of their respective 7.95% Notes due 2026, plus accrued and unpaid interest to the maturity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2026 differed from the U.S. federal statutory income tax rate of 21 percent due to taxes on foreign operations. The Company’s effective income tax rate for the three months ended March 31, 2025 differed from the U.S. federal statutory income tax rate of 21 percent due to taxes on foreign operations and a deferred tax expense related to the remeasurement of taxes in the U.K. as a result of the enactment of Finance Act 2025 on March 20, 2025.</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203" w:lineRule="exact"/>
        <w:rPr>
          <w:sz w:val="20"/>
          <w:szCs w:val="20"/>
          <w:color w:val="auto"/>
        </w:rPr>
      </w:pPr>
    </w:p>
    <w:p>
      <w:pPr>
        <w:ind w:right="7380" w:firstLine="8"/>
        <w:spacing w:after="0" w:line="456" w:lineRule="auto"/>
        <w:tabs>
          <w:tab w:leader="none" w:pos="40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Legal Matters</w:t>
      </w: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various legal actions arising in the ordinary course of business, including litigation and governmental and regulatory controls, which also may include controls related to the potential impacts of climate change. As of March 31, 2026, the Company has an accrued liability of approximately $27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6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on Legal Matters described below, refer to Note 10—Commitments and Contingencies to the consolidated financial statements contained in the Company’s Annual Report on Form 10-K for the fiscal year ended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Australian Operations Divestiture Dispute</w:t>
      </w:r>
    </w:p>
    <w:p>
      <w:pPr>
        <w:spacing w:after="0" w:line="20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In 2018, Quadrant was acquired by Australian oil and gas company Santos, Ltd., who assumed Quadrant’s place in the ongoing litigation. In early 2025, Santos amended the pending counterclaims to abandon a number of claims that had been asserted against the Company but maintaining counterclaims for approximately AUD $57 million. Santos then filed a new lawsuit in the Supreme Court of Western Australia contending that it may be liable to the Australian Taxation Office for assessments, penalties, and interest related to the 2014 and 2015 tax years of approximately AUD $133 million and asserting that, if such amounts must be paid, the Company is liable to Santos for those amounts under the Quadrant SPA. All lawsuits related to the Quadrant SPA have now been consolidated into the same proceeding. The Company will vigorously prosecute its claim while vigorously defending against any counterclaims.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Delaware Litigation</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 The Company is vigorously defending the suit.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the Company had an undiscounted reserve for environmental remediation of approximately $2 million.</w:t>
      </w:r>
    </w:p>
    <w:p>
      <w:pPr>
        <w:spacing w:after="0" w:line="18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not aware of any environmental claims existing as of March 31, 2026,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Potential Decommissioning Obligations on Sold Properties</w:t>
      </w:r>
    </w:p>
    <w:p>
      <w:pPr>
        <w:spacing w:after="0" w:line="18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 The decommissioning obligations for the Legacy GOA Assets are partially secured by a trust account of which Apache is a beneficiary and which is funded by net profits interests (NPIs) depending on future oil prices. In addition, as part of the resolution of Fieldwood’s second bankruptcy, Apache agreed to loan GOM Shelf up to $400 million to perform decommissioning, with such loans extended from time to time and when funds in the trust account are exhausted. Such loans and related obligations are secured by first and prior liens on the Legacy GOA Assets.</w:t>
      </w:r>
    </w:p>
    <w:p>
      <w:pPr>
        <w:spacing w:after="0" w:line="15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w:t>
      </w:r>
    </w:p>
    <w:p>
      <w:pPr>
        <w:spacing w:after="0" w:line="16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recorded an asset of $41 million representing the remaining amount the Company expects to be reimbursed from security related to these decommissioning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0" w:name="page21"/>
    <w:bookmarkEnd w:id="20"/>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also recorded contingent liabilities in the amounts of $878 million and $881 million for the periods ended March 31, 2026 and December 31, 2025, respectively, representing the estimated costs of decommissioning it may be required to perform on the Legacy GOA Assets. There have been no other changes in estimates from December 31, 2025 that would have a material impact on the Company’s financial position, results of operations, or liquidity.</w:t>
      </w:r>
    </w:p>
    <w:p>
      <w:pPr>
        <w:spacing w:after="0" w:line="17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per Common Share</w:t>
      </w:r>
    </w:p>
    <w:p>
      <w:pPr>
        <w:spacing w:after="0" w:line="189" w:lineRule="exact"/>
        <w:rPr>
          <w:sz w:val="20"/>
          <w:szCs w:val="20"/>
          <w:color w:val="auto"/>
        </w:rPr>
      </w:pPr>
    </w:p>
    <w:p>
      <w:pPr>
        <w:ind w:firstLine="445"/>
        <w:spacing w:after="0" w:line="275" w:lineRule="auto"/>
        <w:rPr>
          <w:sz w:val="20"/>
          <w:szCs w:val="20"/>
          <w:color w:val="auto"/>
        </w:rPr>
      </w:pPr>
      <w:r>
        <w:rPr>
          <w:rFonts w:ascii="Times New Roman" w:cs="Times New Roman" w:eastAsia="Times New Roman" w:hAnsi="Times New Roman"/>
          <w:sz w:val="18"/>
          <w:szCs w:val="18"/>
          <w:color w:val="auto"/>
        </w:rPr>
        <w:t>The following table presents a reconciliation of the components of basic and diluted net income per common share in the consolidated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For the Quarter Ended March 31,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15"/>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r>
    </w:tbl>
    <w:p>
      <w:pPr>
        <w:spacing w:after="0" w:line="25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diluted earnings per share calculation excludes options and restricted stock units that were anti-dilutive of 2.8 million and 3.6 million during the first quarters of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Repurchase Program</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did not purchase any shares during the first quarter of 2026. As of March 31, 2026, the Company had remaining authorization to repurchase up to 21.9 million shares. In the first quarter of 2025, the Company repurchased 4.4 million shares at an average price of $22.87 per share.</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is not obligated to acquire any additional shares. Shares may be purchased either in the open market or through privately negotiated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Dividend</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quarters ended March 31, 2026 and March 31, 2025, the Company paid $88 million and $91 million, respectively, in dividends on its common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consolidated subsidiaries are engaged in exploration, development, and/or production across four operating segments: the U.S., Egypt, North Sea, and Suriname. The Company’s business explores for, develops, and produces crude oil, natural gas, and natural gas liquids. The Company also has exploration interests in Alaska, Uruguay, and other international locations that may, over time, result in reportable discoveries and development opportunities.</w:t>
      </w:r>
    </w:p>
    <w:p>
      <w:pPr>
        <w:spacing w:after="0" w:line="15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a function (not necessarily an individual) that allocates the resources of the reporting entity and assesses the performance of its segments. Decisions to assess performance and allocate resources are made by the Company’s Chief Executive Officer (CEO), Mr. John J. Christmann, IV. Therefore, management has concluded that the CEO of the Company is the CODM. The information regularly reviewed by the CODM to assess performance and allocate resources is primarily associated with operating income from each segment and the resulting free cash flow, amongst other metrics. The Company concluded that the most comparable measure under U.S. GAAP is operating income.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information for each segment is presented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89"/>
              <w:spacing w:after="0"/>
              <w:rPr>
                <w:sz w:val="20"/>
                <w:szCs w:val="20"/>
                <w:color w:val="auto"/>
              </w:rPr>
            </w:pPr>
            <w:r>
              <w:rPr>
                <w:rFonts w:ascii="Times New Roman" w:cs="Times New Roman" w:eastAsia="Times New Roman" w:hAnsi="Times New Roman"/>
                <w:sz w:val="28"/>
                <w:szCs w:val="28"/>
                <w:b w:val="1"/>
                <w:bCs w:val="1"/>
                <w:color w:val="auto"/>
                <w:w w:val="95"/>
                <w:vertAlign w:val="subscript"/>
              </w:rPr>
              <w:t>Egypt</w:t>
            </w:r>
            <w:r>
              <w:rPr>
                <w:rFonts w:ascii="Times New Roman" w:cs="Times New Roman" w:eastAsia="Times New Roman" w:hAnsi="Times New Roman"/>
                <w:sz w:val="9"/>
                <w:szCs w:val="9"/>
                <w:b w:val="1"/>
                <w:bCs w:val="1"/>
                <w:color w:val="auto"/>
                <w:w w:val="95"/>
              </w:rPr>
              <w:t>(1)(3)</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Other</w:t>
            </w:r>
            <w:r>
              <w:rPr>
                <w:rFonts w:ascii="Times New Roman" w:cs="Times New Roman" w:eastAsia="Times New Roman" w:hAnsi="Times New Roman"/>
                <w:sz w:val="9"/>
                <w:szCs w:val="9"/>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losses on commodity derivative instruments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Lease operating expenses</w:t>
            </w:r>
            <w:r>
              <w:rPr>
                <w:rFonts w:ascii="Times New Roman" w:cs="Times New Roman" w:eastAsia="Times New Roman" w:hAnsi="Times New Roman"/>
                <w:sz w:val="18"/>
                <w:szCs w:val="18"/>
                <w:color w:val="auto"/>
                <w:vertAlign w:val="superscript"/>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Gathering, processing, and transmission</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Exploration</w:t>
            </w:r>
            <w:r>
              <w:rPr>
                <w:rFonts w:ascii="Times New Roman" w:cs="Times New Roman" w:eastAsia="Times New Roman" w:hAnsi="Times New Roman"/>
                <w:sz w:val="18"/>
                <w:szCs w:val="18"/>
                <w:color w:val="auto"/>
                <w:vertAlign w:val="superscript"/>
              </w:rPr>
              <w:t>(5)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Depreciation, depletion, and amortization</w:t>
            </w:r>
            <w:r>
              <w:rPr>
                <w:rFonts w:ascii="Times New Roman" w:cs="Times New Roman" w:eastAsia="Times New Roman" w:hAnsi="Times New Roman"/>
                <w:sz w:val="18"/>
                <w:szCs w:val="18"/>
                <w:color w:val="auto"/>
                <w:vertAlign w:val="superscript"/>
              </w:rPr>
              <w:t>(5)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top w:val="single" w:sz="8" w:color="DBDBDB"/>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top w:val="single" w:sz="8" w:color="DBDBDB"/>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DBDBDB"/>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losses on derivative instruments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8"/>
                <w:szCs w:val="18"/>
                <w:color w:val="auto"/>
                <w:vertAlign w:val="superscript"/>
              </w:rPr>
              <w:t>(6)</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28"/>
                <w:szCs w:val="28"/>
                <w:b w:val="1"/>
                <w:bCs w:val="1"/>
                <w:color w:val="auto"/>
                <w:w w:val="95"/>
                <w:vertAlign w:val="subscript"/>
              </w:rPr>
              <w:t>Egypt</w:t>
            </w:r>
            <w:r>
              <w:rPr>
                <w:rFonts w:ascii="Times New Roman" w:cs="Times New Roman" w:eastAsia="Times New Roman" w:hAnsi="Times New Roman"/>
                <w:sz w:val="9"/>
                <w:szCs w:val="9"/>
                <w:b w:val="1"/>
                <w:bCs w:val="1"/>
                <w:color w:val="auto"/>
                <w:w w:val="95"/>
              </w:rPr>
              <w:t>(1)(3)</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Other</w:t>
            </w:r>
            <w:r>
              <w:rPr>
                <w:rFonts w:ascii="Times New Roman" w:cs="Times New Roman" w:eastAsia="Times New Roman" w:hAnsi="Times New Roman"/>
                <w:sz w:val="9"/>
                <w:szCs w:val="9"/>
                <w:b w:val="1"/>
                <w:bCs w:val="1"/>
                <w:color w:val="auto"/>
              </w:rPr>
              <w:t>(2)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March 31, 2025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Gathering, processing, and transmission</w:t>
            </w:r>
            <w:r>
              <w:rPr>
                <w:rFonts w:ascii="Times New Roman" w:cs="Times New Roman" w:eastAsia="Times New Roman" w:hAnsi="Times New Roman"/>
                <w:sz w:val="18"/>
                <w:szCs w:val="18"/>
                <w:color w:val="auto"/>
                <w:vertAlign w:val="superscript"/>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Taxes other than income</w:t>
            </w:r>
            <w:r>
              <w:rPr>
                <w:rFonts w:ascii="Times New Roman" w:cs="Times New Roman" w:eastAsia="Times New Roman" w:hAnsi="Times New Roman"/>
                <w:sz w:val="18"/>
                <w:szCs w:val="18"/>
                <w:color w:val="auto"/>
                <w:vertAlign w:val="superscript"/>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Exploration</w:t>
            </w:r>
            <w:r>
              <w:rPr>
                <w:rFonts w:ascii="Times New Roman" w:cs="Times New Roman" w:eastAsia="Times New Roman" w:hAnsi="Times New Roman"/>
                <w:sz w:val="18"/>
                <w:szCs w:val="18"/>
                <w:color w:val="auto"/>
                <w:vertAlign w:val="superscript"/>
              </w:rPr>
              <w:t>(5)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Depreciation, depletion, and amortization</w:t>
            </w:r>
            <w:r>
              <w:rPr>
                <w:rFonts w:ascii="Times New Roman" w:cs="Times New Roman" w:eastAsia="Times New Roman" w:hAnsi="Times New Roman"/>
                <w:sz w:val="18"/>
                <w:szCs w:val="18"/>
                <w:color w:val="auto"/>
                <w:vertAlign w:val="superscript"/>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losses on commodity derivative instruments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divestitures,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8"/>
                <w:szCs w:val="18"/>
                <w:color w:val="auto"/>
                <w:vertAlign w:val="superscript"/>
              </w:rPr>
              <w:t>(6)</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and gas production revenue that will be paid as taxes by EGPC on behalf of the Company for the quarters ended March 31, 2026 and March 31, 2025 of:</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44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30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90"/>
        </w:trPr>
        <w:tc>
          <w:tcPr>
            <w:tcW w:w="8500" w:type="dxa"/>
            <w:vAlign w:val="bottom"/>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r>
      <w:tr>
        <w:trPr>
          <w:trHeight w:val="219"/>
        </w:trPr>
        <w:tc>
          <w:tcPr>
            <w:tcW w:w="8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9"/>
                <w:szCs w:val="19"/>
                <w:color w:val="auto"/>
              </w:rPr>
            </w:pPr>
          </w:p>
        </w:tc>
      </w:tr>
      <w:tr>
        <w:trPr>
          <w:trHeight w:val="23"/>
        </w:trPr>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0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8"/>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14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Suriname operating expenses as the operating segment has not met the quantitative thresholds to be separately reported.</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noncontrolling interests in Egypt.</w:t>
      </w:r>
    </w:p>
    <w:p>
      <w:pPr>
        <w:spacing w:after="0" w:line="68" w:lineRule="exact"/>
        <w:rPr>
          <w:rFonts w:ascii="Times New Roman" w:cs="Times New Roman" w:eastAsia="Times New Roman" w:hAnsi="Times New Roman"/>
          <w:sz w:val="14"/>
          <w:szCs w:val="14"/>
          <w:color w:val="auto"/>
        </w:rPr>
      </w:pPr>
    </w:p>
    <w:p>
      <w:pPr>
        <w:ind w:left="340" w:hanging="332"/>
        <w:spacing w:after="0" w:line="29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significant segment expense categories that align with the segment-level information that is regularly provided to the CODM. The remaining expenses that comprise the Operating Income (Loss) amount by segment are deemed to be other segment expense categories necessary to arrive at the segment profit or loss.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Exploration expense under Intersegment Eliminations &amp; Other primarily reflects the Company’s Suriname exploration activities.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balances are excluded from total assets.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3" w:name="page24"/>
    <w:bookmarkEnd w:id="2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relates to APA Corporation (APA or the Company) and its consolidated subsidiaries and should be read together with the Company’s Consolidated Financial Statements and accompanying notes included in Part I, </w:t>
      </w:r>
      <w:r>
        <w:rPr>
          <w:rFonts w:ascii="Times New Roman" w:cs="Times New Roman" w:eastAsia="Times New Roman" w:hAnsi="Times New Roman"/>
          <w:sz w:val="18"/>
          <w:szCs w:val="18"/>
          <w:u w:val="single" w:color="auto"/>
          <w:color w:val="0000FF"/>
        </w:rPr>
        <w:t>Item 1—Financial Statements</w:t>
      </w:r>
      <w:r>
        <w:rPr>
          <w:rFonts w:ascii="Times New Roman" w:cs="Times New Roman" w:eastAsia="Times New Roman" w:hAnsi="Times New Roman"/>
          <w:sz w:val="18"/>
          <w:szCs w:val="18"/>
          <w:color w:val="auto"/>
        </w:rPr>
        <w:t xml:space="preserve"> of this Quarterly Report on Form 10-Q, as well as related information set forth in the Company’s Consolidated Financial Statements, accompanying Notes to Consolidated Financial Statements, and Management’s Discussion and Analysis of Financial Condition and Results of Operations included in the Company’s Annual Report on Form 10-K for the fiscal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APA is an independent energy company that owns subsidiaries that explore for, develop, and produce crude oil, natural gas, and natural gas liquids (NGLs). The Company’s business has oil and gas operations in three geographic areas: the U.S., Egypt, and offshore the U.K. in the North Sea (North Sea). APA also has active development, exploration and appraisal operations ongoing in Suriname, as well as exploration interests in Uruguay, Alaska, and other international locations that may, over time, result in reportable discoveries and development opportunities. As a holding company, APA Corporation’s primary assets are its ownership interests in its consolidated subsidiaries.</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APA believes energy underpins global progress, and the Company wants to be a part of the solution as society works to meet growing global demand for reliable and affordable energy. APA strives to meet those challenges while creating value for all its stakeholders.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Uncertainties in the global supply chain and financial markets impact oil supply and demand and contribute to commodity price volatility. These uncertainties include the impacts and duration of armed conflicts involving Iran, Russia, Ukraine, Israel, Lebanon, and Gaza, inflation, current and potential tariffs or other trade barriers, global trade policies, and disputes, and actions taken by foreign oil and gas producing nations, including OPEC+. Despite these uncertainties, the Company is focused on its longer-term objectives: (1) to remain committed to providing affordable, reliable, and responsibly produced energy; (2) to deliver top operational performance across safety, environmental responsibility, execution, and risk management measures; (3) to maintain financial discipline by managing costs, protecting the balance sheet to underpin the generation of cash flow in excess of its upstream exploration, appraisal, and development capital program that can be directed to debt reduction, share repurchases, and other return of capital to its shareholders; and (4) to build and grow a diverse and balanced high-quality portfolio with scale through acquisitions, exploration, and organic opportunities.</w:t>
      </w:r>
    </w:p>
    <w:p>
      <w:pPr>
        <w:spacing w:after="0" w:line="16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closely monitors hydrocarbon pricing fundamentals to reallocate capital as part of its ongoing planning process. APA’s diversified asset portfolio and operational flexibility provide the Company the ability to timely respond to near-term price volatility and effectively manage its investment programs accordingly. For additional detail on the Company’s forward capital investment outlook, refer to “Capital Resources and Liquidity” below.</w:t>
      </w:r>
    </w:p>
    <w:p>
      <w:pPr>
        <w:spacing w:after="0" w:line="13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continued its cost reduction efforts to drive sustainable cost savings for the long-term. The Company remained focused on reducing overhead costs, improving the capital cost structure for its drilling, completions, and facility investments, and driving efficiencies of day-to-day field operating practices. The Company expects an additional $100 million of annualized savings to be achieved by the end of 2026, adding to the $350 million of annualized savings across G&amp;A, LOE, and capital captured during the prior year.</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remains committed to its capital return framework for equity holders to participate more directly and materially in cash returns. The Company believes returning 60 percent of free cash flow through dividends and share repurchases creates a good balance for providing near-term cash returns to shareholders while still recognizing the importance of longer-term balance sheet strengthening.</w:t>
      </w:r>
    </w:p>
    <w:p>
      <w:pPr>
        <w:spacing w:after="0" w:line="68" w:lineRule="exact"/>
        <w:rPr>
          <w:sz w:val="20"/>
          <w:szCs w:val="20"/>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a quarterly dividend of $0.25 per share on its common stock.</w:t>
      </w:r>
    </w:p>
    <w:p>
      <w:pPr>
        <w:spacing w:after="0" w:line="117"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and through the end of the first quarter of 2026, the Company has repurchased 98.2 million shares of the Company’s common stock.</w:t>
      </w:r>
    </w:p>
    <w:p>
      <w:pPr>
        <w:spacing w:after="0" w:line="53"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year-end 2021 through the date of this filing, the Company has repaid $3.6 billion of long-term debt, including $555 million repaid subsequent to the end of the first quarter of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Operational Highlights</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reported net income attributable to common stock of $446 million, or $1.26 per diluted share, compared to net income of $347 million, or $0.96 per diluted share, in the first quarter of 2025. The increase in net income in the first quarter of 2026, compared to the first quarter of 2025, was primarily driven by improved margins on third-party purchased oil and gas activity and lower operating expenses driven by prior year cost savings initiatives.</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generated $554 million of cash from operating activities during the first three months of 2026, 49 percent lower than the first three months of 2025. APA’s lower operating cash flows for the first three months of 2026 were primarily driven by the collection of outstanding Egypt receivables in the prior year and timing of other working capital items. The Company paid $88 million in dividends to APA common stockholders during the first three months of 2026. The Company also repaid $79 million of long-term debt that matured during the quarter.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operational highlights include: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jc w:val="both"/>
        <w:ind w:left="740" w:hanging="327"/>
        <w:spacing w:after="0" w:line="261"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boe production from the Company’s U.S. assets, which decreased 11 percent from the first quarter of 2025, accounted for 60 percent of the Company’s worldwide production during the first quarter of 2026. The Company averaged five drilling rigs in the Permian Basin, including four rigs in the Southern Midland Basin and one rig in the Delaware Basin in the first quarter of 2026. The Company brought online 19 operated wells during the quarter. The Company’s core Permian Basin development program continues to represent a key growth area for the U.S. assets.</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APA holds approximately 750,000 MMBtu/d of firm capacity on various pipelines in the Permian Basin. As of March 31, 2026, the Company had open basis swap contracts which purchased Waha and sold NYMEX Henry Hub on approximately one-third of its firm transport capacity for 2026, thereby locking in a significant portion of cash flows associated with its gas marketing activities for the near term. Refer to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Derivative Instruments and Hedging Activities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discussion of these basis swap agreements.</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jc w:val="both"/>
        <w:ind w:left="740" w:hanging="327"/>
        <w:spacing w:after="0" w:line="261"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Egypt, the Company averaged 12 drilling rigs and drilled 16 new productive wells during the first quarter of 2026. The Company also averaged 20 workover rigs as it continues to align its drilling and workover activity with a goal of driving improved capital efficiency. First quarter 2026 gross and net production from the Company’s Egypt assets increased 2 percent and 8 percent, respectively, from the first quarter of 2025.</w:t>
      </w:r>
    </w:p>
    <w:p>
      <w:pPr>
        <w:spacing w:after="0" w:line="71"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Egypt, following the success of the 2025 gas program, the Company expects approximately one-half of its rig activities to be gas-focused and anticipates continued strong performance for the rest of the year, with realized gas prices increasing through the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Natural Gas Liquids Production Revenues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revenues and respective contribution to total revenues by country were as follows:</w:t>
      </w:r>
    </w:p>
    <w:p>
      <w:pPr>
        <w:spacing w:after="0" w:line="5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6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98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32"/>
        </w:trPr>
        <w:tc>
          <w:tcPr>
            <w:tcW w:w="62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gridSpan w:val="3"/>
          </w:tcPr>
          <w:p>
            <w:pPr>
              <w:jc w:val="right"/>
              <w:ind w:right="462"/>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1400" w:type="dxa"/>
            <w:vAlign w:val="bottom"/>
            <w:gridSpan w:val="3"/>
          </w:tcPr>
          <w:p>
            <w:pPr>
              <w:jc w:val="right"/>
              <w:ind w:right="461"/>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Revenues: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Revenues: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Revenues: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 Revenues: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6"/>
        </w:trPr>
        <w:tc>
          <w:tcPr>
            <w:tcW w:w="6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revenues attributable to a noncontrolling interest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Production</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volumes by country were as follows: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20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0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Volume (b/d)</w:t>
            </w: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123,898</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125,124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86,736</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86,173</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13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231,970</w:t>
            </w:r>
          </w:p>
        </w:tc>
        <w:tc>
          <w:tcPr>
            <w:tcW w:w="13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236,503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Volume (Mcf/d)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413,975</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574,736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381,406</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317,209</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29,045</w:t>
            </w:r>
          </w:p>
        </w:tc>
        <w:tc>
          <w:tcPr>
            <w:tcW w:w="132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31,606</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824,426</w:t>
            </w:r>
          </w:p>
        </w:tc>
        <w:tc>
          <w:tcPr>
            <w:tcW w:w="13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4"/>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923,551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Volume (b/d)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71,826</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212"/>
        </w:trPr>
        <w:tc>
          <w:tcPr>
            <w:tcW w:w="7420" w:type="dxa"/>
            <w:vAlign w:val="bottom"/>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72,977</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78,549</w:t>
            </w: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tcPr>
          <w:p>
            <w:pPr>
              <w:jc w:val="center"/>
              <w:ind w:right="6324"/>
              <w:spacing w:after="0" w:line="216" w:lineRule="exact"/>
              <w:rPr>
                <w:sz w:val="20"/>
                <w:szCs w:val="20"/>
                <w:color w:val="auto"/>
              </w:rPr>
            </w:pPr>
            <w:r>
              <w:rPr>
                <w:rFonts w:ascii="Times New Roman" w:cs="Times New Roman" w:eastAsia="Times New Roman" w:hAnsi="Times New Roman"/>
                <w:sz w:val="16"/>
                <w:szCs w:val="16"/>
                <w:color w:val="auto"/>
                <w:w w:val="98"/>
              </w:rPr>
              <w:t>BOE per day</w:t>
            </w:r>
            <w:r>
              <w:rPr>
                <w:rFonts w:ascii="Times New Roman" w:cs="Times New Roman" w:eastAsia="Times New Roman" w:hAnsi="Times New Roman"/>
                <w:sz w:val="21"/>
                <w:szCs w:val="21"/>
                <w:color w:val="auto"/>
                <w:w w:val="98"/>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264,720</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4"/>
              </w:rPr>
              <w:t>(11)%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298,319</w:t>
            </w: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150,304</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139,041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North Sea</w:t>
            </w:r>
            <w:r>
              <w:rPr>
                <w:rFonts w:ascii="Times New Roman" w:cs="Times New Roman" w:eastAsia="Times New Roman" w:hAnsi="Times New Roman"/>
                <w:sz w:val="21"/>
                <w:szCs w:val="21"/>
                <w:color w:val="auto"/>
                <w:vertAlign w:val="superscript"/>
              </w:rPr>
              <w:t>(4)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27,328</w:t>
            </w:r>
          </w:p>
        </w:tc>
        <w:tc>
          <w:tcPr>
            <w:tcW w:w="13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31,618</w:t>
            </w:r>
          </w:p>
        </w:tc>
        <w:tc>
          <w:tcPr>
            <w:tcW w:w="0" w:type="dxa"/>
            <w:vAlign w:val="bottom"/>
          </w:tcPr>
          <w:p>
            <w:pPr>
              <w:spacing w:after="0"/>
              <w:rPr>
                <w:sz w:val="1"/>
                <w:szCs w:val="1"/>
                <w:color w:val="auto"/>
              </w:rPr>
            </w:pPr>
          </w:p>
        </w:tc>
      </w:tr>
      <w:tr>
        <w:trPr>
          <w:trHeight w:val="209"/>
        </w:trPr>
        <w:tc>
          <w:tcPr>
            <w:tcW w:w="7420" w:type="dxa"/>
            <w:vAlign w:val="bottom"/>
          </w:tcPr>
          <w:p>
            <w:pPr>
              <w:jc w:val="center"/>
              <w:ind w:right="6304"/>
              <w:spacing w:after="0"/>
              <w:rPr>
                <w:sz w:val="20"/>
                <w:szCs w:val="20"/>
                <w:color w:val="auto"/>
              </w:rPr>
            </w:pPr>
            <w:r>
              <w:rPr>
                <w:rFonts w:ascii="Times New Roman" w:cs="Times New Roman" w:eastAsia="Times New Roman" w:hAnsi="Times New Roman"/>
                <w:sz w:val="16"/>
                <w:szCs w:val="16"/>
                <w:color w:val="auto"/>
                <w:w w:val="94"/>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442,352</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468,978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Gross production volumes in Egypt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0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80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121,472</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128,025</w:t>
            </w:r>
          </w:p>
        </w:tc>
      </w:tr>
      <w:tr>
        <w:trPr>
          <w:trHeight w:val="188"/>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517,623</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456,955</w:t>
            </w:r>
          </w:p>
        </w:tc>
      </w:tr>
    </w:tbl>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Includes net production volumes per day attributable to a noncontrolling interest in Egypt 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30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 Ended March 31,</w:t>
            </w:r>
          </w:p>
        </w:tc>
        <w:tc>
          <w:tcPr>
            <w:tcW w:w="80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28,921</w:t>
            </w: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28,746</w:t>
            </w:r>
          </w:p>
        </w:tc>
      </w:tr>
      <w:tr>
        <w:trPr>
          <w:trHeight w:val="188"/>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127,175</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105,820</w:t>
            </w:r>
          </w:p>
        </w:tc>
      </w:tr>
    </w:tbl>
    <w:p>
      <w:pPr>
        <w:spacing w:after="0" w:line="127" w:lineRule="exact"/>
        <w:rPr>
          <w:sz w:val="20"/>
          <w:szCs w:val="20"/>
          <w:color w:val="auto"/>
        </w:rPr>
      </w:pPr>
    </w:p>
    <w:p>
      <w:pPr>
        <w:ind w:left="260" w:right="20" w:hanging="252"/>
        <w:spacing w:after="0" w:line="301" w:lineRule="auto"/>
        <w:tabs>
          <w:tab w:leader="none" w:pos="3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33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sales volumes from the North Sea for the first quarters of 2026 and 2025 were 28,275 boe/d and 36,704 boe/d, respectively. Sales volumes may vary from production volumes as a result of the timing of liftings.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average selling prices by country were as follows:</w:t>
      </w:r>
    </w:p>
    <w:p>
      <w:pPr>
        <w:spacing w:after="0" w:line="5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Oil Price – Per barrel</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72.53</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86.01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84.67</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78.69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Natural Gas Price – Per Mcf</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14.19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NGL Price – Per barrel</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19.89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49.24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0" w:type="dxa"/>
            <w:vAlign w:val="bottom"/>
          </w:tcPr>
          <w:p>
            <w:pPr>
              <w:spacing w:after="0"/>
              <w:rPr>
                <w:sz w:val="1"/>
                <w:szCs w:val="1"/>
                <w:color w:val="auto"/>
              </w:rPr>
            </w:pPr>
          </w:p>
        </w:tc>
      </w:tr>
      <w:tr>
        <w:trPr>
          <w:trHeight w:val="210"/>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20.96</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First-Quarter 2026 compared to First-Quarter 2025</w:t>
      </w:r>
    </w:p>
    <w:p>
      <w:pPr>
        <w:spacing w:after="0" w:line="18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Crude Oil </w:t>
      </w:r>
      <w:r>
        <w:rPr>
          <w:rFonts w:ascii="Times New Roman" w:cs="Times New Roman" w:eastAsia="Times New Roman" w:hAnsi="Times New Roman"/>
          <w:sz w:val="18"/>
          <w:szCs w:val="18"/>
          <w:color w:val="auto"/>
        </w:rPr>
        <w:t>Crude oil revenues for the first quarter of 2026 totaled $1.6 billion, a $44 million increase from the comparative 2025 quarter. A 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average realized prices increased first-quarter 2026 oil revenues by $107 million compared to the first quarter of 2025, while 4 percent lower average daily sales volumes decreased revenues by $63 million. Crude oil accounted for 85 percent of total oil and gas production revenues and 52 percent of worldwide production in the first quarter of 2026.</w:t>
      </w:r>
    </w:p>
    <w:p>
      <w:pPr>
        <w:spacing w:after="0" w:line="1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worldwide oil production decreased 4.5 Mb/d to 232 Mb/d during the first quarter of 2026 from the comparative prior-year period, primarily a result of natural production decline in the U.S. and North Sea, operational downtime, and the sale of non-core assets in the U.S. Also during the first quarter of 2026, the timing of liftings in the North Sea drove an additional 4.4 Mb/d decrease in sales volumes compared to the same prior-year period. These decreases were partially offset by drilling activity in the Permian Basin and improved well performance in the North Sea.</w:t>
      </w:r>
    </w:p>
    <w:p>
      <w:pPr>
        <w:spacing w:after="0" w:line="1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Natural Gas </w:t>
      </w:r>
      <w:r>
        <w:rPr>
          <w:rFonts w:ascii="Times New Roman" w:cs="Times New Roman" w:eastAsia="Times New Roman" w:hAnsi="Times New Roman"/>
          <w:sz w:val="18"/>
          <w:szCs w:val="18"/>
          <w:color w:val="auto"/>
        </w:rPr>
        <w:t>Natural gas revenues for the first quarter of 2026 totaled $157 million, a $76 million decrease from the comparative 2025 quarter. A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decrease in average realized prices, driven by periods of negative pricing across the Permian Basin, decreased first-quarter 2026 natural gas revenues by $57 million compared to the first quarter of 2025, while 11 percent lower average daily production decreased gas revenues by $19 million. Natural gas accounted for 8 percent of total oil and gas production revenues and 31 percent of worldwide production during the first quarter of 2026.</w:t>
      </w:r>
    </w:p>
    <w:p>
      <w:pPr>
        <w:spacing w:after="0" w:line="14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worldwide natural gas production decreased 99.1 MMcf/d to 824.4 MMcf/d during the first quarter of 2026 from the comparative prior-year period, primarily a result of increased volume curtailments at Alpine High compared with the 2025 period in response to extreme Waha basis differentials, including periods of negative pricing. These curtailments were undertaken to mitigate the economic impact of selling gas into constrained markets at uneconomic or negative prices. Natural gas production was also lower as a result of the sale of non-core assets and operational downtime in the U.S., and natural production decline in the U.S. and North Sea. These decreases were partially offset by drilling activity in Egypt and the Permian Basin, with Egypt also benefitting from higher realized natural gas prices and improved well performance in the North Sea.</w:t>
      </w:r>
    </w:p>
    <w:p>
      <w:pPr>
        <w:spacing w:after="0" w:line="14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NGL </w:t>
      </w:r>
      <w:r>
        <w:rPr>
          <w:rFonts w:ascii="Times New Roman" w:cs="Times New Roman" w:eastAsia="Times New Roman" w:hAnsi="Times New Roman"/>
          <w:sz w:val="18"/>
          <w:szCs w:val="18"/>
          <w:color w:val="auto"/>
        </w:rPr>
        <w:t>NGL revenues for the first quarter of 2026 totaled $141 million, a $65 million decrease from the comparative 2025 quarter. A 27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average realized prices decreased first-quarter 2026 NGL revenues by $56 million compared to the first quarter of 2025, while 7 percent lower average daily production decreased revenues by $9 million. NGLs accounted for 7 percent of total oil and gas production revenues and 17 percent of worldwide production during the first quarter of 2026.</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8" w:name="page29"/>
    <w:bookmarkEnd w:id="28"/>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worldwide NGL production decreased 5.6 Mb/d to 73.0 Mb/d during the first quarter of 2026 from the comparative prior-year period, primarily a result of increased volume curtailments and weather shut-ins compared with the 2025 period. NGL production was also lower as a result of the sale of non-core assets and operational downtime in the U.S. and natural production decline in the U.S. and North Sea. These decreases were partially offset by drilling activity in the Permian Basin and improved well performance in the North Sea.</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Purchased Oil and Gas Sales</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Purchased oil and gas sales represent volumes attributable to domestic oil and gas purchases that were sold by the Company primarily to fulfill oil and natural gas takeaway obligations and commitments, including deliveries under international LNG price-based contracts. Sales related to purchased volumes totaled $385 million and $597 million during the first quarters of 2026 and 2025, respectively. Purchased oil and gas sales were partially offset by associated purchase costs of $75 million and $474 million during the first quarters of 2026 and 2025, respectively. The higher margin between purchased volume sales compared to costs realized during the first quarter of 2026 was primarily attributable to extreme Permian Basin natural gas price differentials with Houston Ship Channel pricing.</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operating expenses were as follows and include costs attributable to a noncontrolling interest in Egypt:</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Gathering, processing, and transmission</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Exploration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Oil and gas property and equipment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Financing costs,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Operating Expenses (LOE)</w:t>
      </w:r>
    </w:p>
    <w:p>
      <w:pPr>
        <w:spacing w:after="0" w:line="1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LOE decreased $45 million from the first quarter of 2025. On a per-unit basis, LOE decreased 5 percent in the first quarter of 2026 when compared to the first quarter of 2025. The decrease in absolute costs was primarily driven by the sale of non-core assets in the Permian Basin and continued cost reduction efforts across all operating areas.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Gathering, Processing, and Transmission (GPT)</w:t>
      </w:r>
    </w:p>
    <w:p>
      <w:pPr>
        <w:spacing w:after="0" w:line="20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GPT costs decreased $13 million from the first quarter of 2025, primarily driven by a decrease in production volumes in the U.S. compared to the same prior-year period.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Purchased Oil and Gas Costs</w:t>
      </w:r>
    </w:p>
    <w:p>
      <w:pPr>
        <w:spacing w:after="0" w:line="18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Purchased oil and gas costs decreased $399 million from the first quarter of 2025, primarily driven by decreased oil and gas volume purchases following the expiration of certain third-party contracts in 2025 and gas volumes purchased at significantly lower prices in the Permian Basin.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Taxes Other Than Income</w:t>
      </w:r>
    </w:p>
    <w:p>
      <w:pPr>
        <w:spacing w:after="0" w:line="1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Taxes other than income decreased $17 million from the first quarter of 2025, primarily from lower severance taxes driven by decreased production volumes in the U.S. and lower ad valorem taxes compared to the same prior-year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i w:val="1"/>
          <w:iCs w:val="1"/>
          <w:color w:val="auto"/>
        </w:rPr>
        <w:t>Exploration Expenses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exploration expenses were as follows:</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Unproved leasehold impairments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Dry hole expense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Geological and geophysical expense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Exploration overhead and other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Exploration</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Exploration expenses decreased $4 million from the first quarter of 2025, primarily the result of lower exploration overhead and geological and geophysical expense in the first quarter of 2026 compared to the same prior-year period.</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(G&amp;A) Expenses</w:t>
      </w:r>
    </w:p>
    <w:p>
      <w:pPr>
        <w:spacing w:after="0" w:line="1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G&amp;A expenses increased $17 million from the first quarter of 2025, primarily driven by higher cash-based stock compensation expense resulting from changes in the Company’s stock price during the period, partially offset by impacts from cost-reduction efforts on personnel and other overhead expenses.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Reorganization, and Separation (TRS) Costs</w:t>
      </w:r>
    </w:p>
    <w:p>
      <w:pPr>
        <w:spacing w:after="0" w:line="18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TRS costs decreased $30 million from the first quarter of 2025, primarily associated with employee separations and other cost-saving initiatives that occurred during the first quarter of 2025.</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Depletion, and Amortization (DD&amp;A)</w:t>
      </w:r>
    </w:p>
    <w:p>
      <w:pPr>
        <w:spacing w:after="0" w:line="20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Total DD&amp;A expenses decreased $90 million from the first quarter of 2025. The Company’s DD&amp;A rate on its oil and gas properties decreased $1.21 per boe from the first quarter of 2025. The decrease in DD&amp;A expense on an absolute basis and on a per boe basis was primarily driven by lower DD&amp;A rates resulting from the sale of non-core assets in the Permian Basin during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Costs, Net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Financing costs were as follows:</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Quarter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Financing costs,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financing costs increased $114 million from the first quarter of 2025, primarily the result of gains on extinguishment of debt from the Company’s cash tender purchases during the first quarter of 2025, partially offset by a decrease in interest expense from the associated lower long-term debt balance.</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ectPr>
          <w:pgSz w:w="11900" w:h="16838" w:orient="portrait"/>
          <w:cols w:equalWidth="0" w:num="1">
            <w:col w:w="11240"/>
          </w:cols>
          <w:pgMar w:left="320" w:top="106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30" w:name="page31"/>
    <w:bookmarkEnd w:id="30"/>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2026 differed from the U.S. federal statutory income tax rate of 21 percent due to taxes on foreign operations. The Company’s effective income tax rate for the three months ended March 31, 2025 differed from the U.S. federal statutory income tax rate of 21 percent due to taxes on foreign operations and a deferred tax expense related to the remeasurement of taxes in the U.K. as a result of the enactment of Finance Act 2025 on March 20, 2025.</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 and Liquidity</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Operating cash flows are the Company’s principal source of liquidity. The Company’s short-term and long-term operating cash flows are impacted by highly volatile commodity prices, as well as production costs and sales volumes. The Company expects commodity prices to continue to be volatile in the near term as a result of geopolitical instability and tensions, including in the Middle East, macroeconomic uncertainty, current and potential tariffs or trade barriers, supply chain disruptions, and concerns over a potential economic recession. Significant changes in commodity prices impact the Company’s revenues, earnings, and cash flows. These changes potentially impact the Company’s liquidity if costs do not trend with commodity prices. Historically, costs have trended with commodity prices, albeit on a lag. Sales volumes also impact cash flows; however, they have a less volatile impact in the short term.</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the Company’s drilling program and its ability to add reserves economically. Changes in commodity prices also impact estimated quantities of proved reserves.</w:t>
      </w:r>
    </w:p>
    <w:p>
      <w:pPr>
        <w:spacing w:after="0" w:line="13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this time, the Company is unable to predict to what extent ongoing international conflicts in the Middle East, Russia, and Ukraine, and potential changes in trade restrictions and tariffs will impact its business. If inflationary pressures from these and other economic conditions persist or worsen, the Company may incur additional operating costs. The Company will continue to monitor the impact and consequences of these factors on its operations.</w:t>
      </w:r>
    </w:p>
    <w:p>
      <w:pPr>
        <w:spacing w:after="0" w:line="14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plans to invest approximately $2.1 billion in upstream capital investment in 2026. The Company is committed to maintaining a safe, steady, and efficient level of activity as part of its planned capital investment program. For the rest of 2026, the Company will continue to budget its capital program at levels to fund activity necessary to offset inherent declines in production and proved oil and natural gas reserves, subject to prevailing commodity prices. Future rig activity levels and drilling targets will be dependent on the success of the Company’s drilling program and its ability to add reserves economically.</w:t>
      </w:r>
    </w:p>
    <w:p>
      <w:pPr>
        <w:spacing w:after="0" w:line="14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believes its available liquidity and capital resource alternatives, combined with proactive measures to adjust its capital budget to reflect volatile commodity prices and anticipated operating cash flows, will be adequate to fund short-term and long-term operations, including the Company’s capital development program, repayment of debt maturities, payment of dividends, share buy-back activity, and amounts that may ultimately be paid in connection with commitments and contingencies.</w:t>
      </w:r>
    </w:p>
    <w:p>
      <w:pPr>
        <w:spacing w:after="0" w:line="13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may also elect to utilize available cash on hand, committed borrowing capacity, access to both debt and equity capital markets, or proceeds from the sale of nonstrategic assets for all other liquidity and capital resource needs.</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Part I, Items 1 and 2—Business and Properties, and Item 1A—Risk Factors, in the Company’s Annual Report on Form 10-K for the fiscal year ended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sources and uses of the Company’s cash and cash equivalents for the periods presented:</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Sources of Cash and Cash Equivalents: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Fixed-rate debt borrowings</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commercial paper and revolving credit facilities, net</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Sources of Cash and Cash Equivalents</w:t>
            </w: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19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Uses of Cash and Cash Equivalents:</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to upstream oil and gas property</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Leasehold and property acquisitions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term loan facility</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fixed-rate debt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to APA common stockholders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activity, net</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Uses of Cash and Cash Equivalents</w:t>
            </w:r>
          </w:p>
        </w:tc>
        <w:tc>
          <w:tcPr>
            <w:tcW w:w="10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Sources of Cash and Cash Equivalents</w:t>
      </w:r>
    </w:p>
    <w:p>
      <w:pPr>
        <w:spacing w:after="0" w:line="18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Operating cash flows are the Company’s primary source of capital and liquidity and are impacted,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short term and the long term, by volatile commodity prices. The factors that determine operating cash flows are largely the same as those that affect net earnings, with the exception of non-cash expenses such as DD&amp;A, exploratory dry hole expense, asset impairments, asset retirement obligation accretion, and deferred income tax expense.</w:t>
      </w:r>
    </w:p>
    <w:p>
      <w:pPr>
        <w:spacing w:after="0" w:line="1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first three months of 2026 totaled $554 million, $542 million lower from the first three months of 2025, primarily due to lower revenues from decreased oil and gas production, lower natural gas prices, collection of outstanding Egypt receivables in 2025, and timing of other working capital items.</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a detailed discussion of commodity prices, production, and operating expenses, refer to “Results of Operations” in this Item 2. For additional detail on the changes in operating assets and liabilities and the non-cash expenses that do not impact net cash provided by operating activities, refer to the Statement of Consolidated Cash Flows in the Consolidated Financial Statements set forth in Part I, Item 1, Financial Statements of this Quarterly Report on Form 10-Q.</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Uses of Cash and Cash Equivalents</w:t>
      </w:r>
    </w:p>
    <w:p>
      <w:pPr>
        <w:spacing w:after="0" w:line="18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Additions to Oil &amp; Gas Property </w:t>
      </w:r>
      <w:r>
        <w:rPr>
          <w:rFonts w:ascii="Times New Roman" w:cs="Times New Roman" w:eastAsia="Times New Roman" w:hAnsi="Times New Roman"/>
          <w:sz w:val="18"/>
          <w:szCs w:val="18"/>
          <w:color w:val="auto"/>
        </w:rPr>
        <w:t>During the first three months of 2026 and 2025, exploration and development cash expenditures were $542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$777 million, respectively. The decrease in capital investment compared to the prior-year period is directly related to the Company’s efficiency gains on drilling and completion activities in the Permian Basin and Egypt. The Company operated an average of approximately 17 drilling rigs during the first three months of 2026, compared to an average of approximately 22 drilling rigs during the first three months of 2025.</w:t>
      </w:r>
    </w:p>
    <w:p>
      <w:pPr>
        <w:spacing w:after="0" w:line="15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Leasehold and Property Acquisitions </w:t>
      </w:r>
      <w:r>
        <w:rPr>
          <w:rFonts w:ascii="Times New Roman" w:cs="Times New Roman" w:eastAsia="Times New Roman" w:hAnsi="Times New Roman"/>
          <w:sz w:val="18"/>
          <w:szCs w:val="18"/>
          <w:color w:val="auto"/>
        </w:rPr>
        <w:t>During the first three months of 2026 and 2025, the Company completed other leasehold and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primarily in the Permian Basin, for total cash consideration of $4 million and $13 million, respectively.</w:t>
      </w:r>
    </w:p>
    <w:p>
      <w:pPr>
        <w:spacing w:after="0" w:line="118"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on Fixed-Rate Debt </w:t>
      </w:r>
      <w:r>
        <w:rPr>
          <w:rFonts w:ascii="Times New Roman" w:cs="Times New Roman" w:eastAsia="Times New Roman" w:hAnsi="Times New Roman"/>
          <w:sz w:val="18"/>
          <w:szCs w:val="18"/>
          <w:color w:val="auto"/>
        </w:rPr>
        <w:t>During the first three months of 2026, the Company repaid in cash on maturity $79 million of long-term debt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quarter, plus accrued and unpaid interest to the maturity date.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2025, the Company settled its private exchange and cash tender offers for certain notes and debentures of Apache and made open market repurchases for an aggregate cash payment amount of $905 million, reflecting principal amounts, discount to par, and associated fees.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and expects that Apache will continue to, reduce debt outstanding under its indentures from time to time.</w:t>
      </w:r>
    </w:p>
    <w:p>
      <w:pPr>
        <w:spacing w:after="0" w:line="18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Paid to APA Common Stockholders </w:t>
      </w:r>
      <w:r>
        <w:rPr>
          <w:rFonts w:ascii="Times New Roman" w:cs="Times New Roman" w:eastAsia="Times New Roman" w:hAnsi="Times New Roman"/>
          <w:sz w:val="18"/>
          <w:szCs w:val="18"/>
          <w:color w:val="auto"/>
        </w:rPr>
        <w:t>During the first three months of 2026 and 2025, the Company paid $88 million and $91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for dividends on its common stock.</w:t>
      </w:r>
    </w:p>
    <w:p>
      <w:pPr>
        <w:spacing w:after="0" w:line="1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Noncontrolling Interest </w:t>
      </w:r>
      <w:r>
        <w:rPr>
          <w:rFonts w:ascii="Times New Roman" w:cs="Times New Roman" w:eastAsia="Times New Roman" w:hAnsi="Times New Roman"/>
          <w:sz w:val="18"/>
          <w:szCs w:val="18"/>
          <w:color w:val="auto"/>
        </w:rPr>
        <w:t>Sinopec International Petroleum Exploration and Production Corporation (Sinopec) holds a one-third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minority participation interest in the Company’s oil and gas operations in Egypt. During the first three months of 2026 and 2025, the Company paid $65 million and $126 million, respectively, in cash distributions to Sinopec.</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key financial indicators: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 – APA and Apache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 committed borrowing capacity under syndicated credit facilities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r>
    </w:tbl>
    <w:p>
      <w:pPr>
        <w:spacing w:after="0" w:line="255"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March 31, 2026, the Company had $293 million in cash and cash equivalents. The majority of the Company’s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invested in highly liquid, investment-grade instruments with maturities of three months or less at the time of purchase.</w:t>
      </w:r>
    </w:p>
    <w:p>
      <w:pPr>
        <w:spacing w:after="0" w:line="1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As of March 31, 2026, the Company had $4.4 billion in total debt outstanding, which consisted of notes and debentures of APA and Apache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lease obligations. As of March 31, 2026, current debt included $2 million of finance lease obligations and $132 million of APA and Apache notes coming due within the next year.</w:t>
      </w:r>
    </w:p>
    <w:p>
      <w:pPr>
        <w:spacing w:after="0" w:line="14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Indenture Debt Activity </w:t>
      </w:r>
      <w:r>
        <w:rPr>
          <w:rFonts w:ascii="Times New Roman" w:cs="Times New Roman" w:eastAsia="Times New Roman" w:hAnsi="Times New Roman"/>
          <w:sz w:val="18"/>
          <w:szCs w:val="18"/>
          <w:color w:val="auto"/>
        </w:rPr>
        <w:t>On March 15, 2026, APA and Apache repaid in cash on maturity the outstanding $79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7.70% Notes due 2026, plus accrued and unpaid interest to the maturity date.</w:t>
      </w:r>
    </w:p>
    <w:p>
      <w:pPr>
        <w:spacing w:after="0" w:line="12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spacing w:after="0" w:line="14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2025, Apache purchased in the open market and canceled senior notes issued under its indentures in an aggregate principal amount of $55 million for an aggregate purchase price of $50 million in cash, including accrued interest and broker fees, reflecting a discount to par of an aggregate $7 million. The Company recognized a $7 million gain on these repurchases. The repurchases were partially financed by APA’s borrowing under the Company’s commercial paper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3" w:name="page34"/>
    <w:bookmarkEnd w:id="33"/>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Committed Credit Facilities </w:t>
      </w:r>
      <w:r>
        <w:rPr>
          <w:rFonts w:ascii="Times New Roman" w:cs="Times New Roman" w:eastAsia="Times New Roman" w:hAnsi="Times New Roman"/>
          <w:sz w:val="18"/>
          <w:szCs w:val="18"/>
          <w:color w:val="auto"/>
        </w:rPr>
        <w:t>On January 15, 2025, the Company entered into two unsecured syndicated credit agreements for general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w:t>
      </w:r>
    </w:p>
    <w:p>
      <w:pPr>
        <w:spacing w:after="0" w:line="133" w:lineRule="exact"/>
        <w:rPr>
          <w:sz w:val="20"/>
          <w:szCs w:val="20"/>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spacing w:after="0" w:line="135"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spacing w:after="0" w:line="14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Uncommitted Lines of Credit </w:t>
      </w:r>
      <w:r>
        <w:rPr>
          <w:rFonts w:ascii="Times New Roman" w:cs="Times New Roman" w:eastAsia="Times New Roman" w:hAnsi="Times New Roman"/>
          <w:sz w:val="18"/>
          <w:szCs w:val="18"/>
          <w:color w:val="auto"/>
        </w:rPr>
        <w:t>Each of the Company and Apache, from time to time, has and uses uncommitted credit and letter of credit facilities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credit support purposes. As of March 31, 2026 and December 31, 2025, there were no outstanding borrowings under these facilities. As of March 31, 2026, there were £567 million and $10 million in letters of credit outstanding under these facilities. As of December 31, 2025, there were £901 million and $10 million in letters of credit outstanding under these facilities.</w:t>
      </w:r>
    </w:p>
    <w:p>
      <w:pPr>
        <w:spacing w:after="0" w:line="13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The Company has a commercial paper program under which it from time to time may issue in private placements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from registration under the Securities Act 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March 31, 2026, included the $2.0 billion USD Agreement.</w:t>
      </w:r>
    </w:p>
    <w:p>
      <w:pPr>
        <w:spacing w:after="0" w:line="14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CP Notes are sold under customary market terms in the U.S. commercial paper market at a discount from par or at par and bear interest at rates determined at the time of issuance.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of March 31, 2026 and December 31, 2025, the Company had no CP Notes outstanding.</w:t>
      </w:r>
    </w:p>
    <w:p>
      <w:pPr>
        <w:spacing w:after="0" w:line="18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Subsequent Events—Indenture Debt Activity </w:t>
      </w:r>
      <w:r>
        <w:rPr>
          <w:rFonts w:ascii="Times New Roman" w:cs="Times New Roman" w:eastAsia="Times New Roman" w:hAnsi="Times New Roman"/>
          <w:sz w:val="18"/>
          <w:szCs w:val="18"/>
          <w:color w:val="auto"/>
        </w:rPr>
        <w:t>On April 6, 2026, APA and Apache fully redeemed their respective 4.875% Notes due 2027 and 4.375%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due 2028. Note holders were paid an aggregate $425 million in cash (comprised of outstanding principal amounts and make-whole premiums), plus accrued and unpaid interest to the redemption date.</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April 15, 2026, APA and Apache repaid in cash on maturity the outstanding $132 million aggregate principal amount of their respective 7.95% Notes due 2026, plus accrued and unpaid interest to the maturity date.</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The Company enters into customary agreements in the oil and gas industry for drilling rig commitments,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agreements, and other obligations that may not be recorded on the Company’s consolidated balance sheet. For more information regarding these and other contractual arrangements, please refer to “Contractual Obligations” in Part II, Item 7 of APA’s Annual Report on Form 10-K for the fiscal year ended December 31, 2025. There have been no material changes to the contractual obligations described therein.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Potential Decommissioning Obligations on Sold Properties</w:t>
      </w:r>
    </w:p>
    <w:p>
      <w:pPr>
        <w:spacing w:after="0" w:line="20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 The decommissioning obligations for the Legacy GOA Assets are partially secured by a trust account of which Apache is a beneficiary and which is funded by net profits interests (NPIs) depending on future oil prices. In addition, after such sources have been exhausted, Apache agreed upon resolution of GOM Shelf’s second bankruptcy to loan GOM Shelf of up to $400 million to perform decommissioning, with such loans and related obligations secured by first and prior liens on the Legacy GOA Assets.</w:t>
      </w:r>
    </w:p>
    <w:p>
      <w:pPr>
        <w:spacing w:after="0" w:line="15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w:t>
      </w:r>
    </w:p>
    <w:p>
      <w:pPr>
        <w:spacing w:after="0" w:line="1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recorded an asset of $41 million, representing the remaining amount the Company expects to be reimbursed from security related to these decommissioning costs.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also recorded contingent liabilities in the amounts of $878 million and $881 million for the periods ended March 31, 2026 and December 31, 2025, respectively, representing the estimated costs of decommissioning it may be required to perform on the Legacy GOA Assets. There have been no other changes in estimates from December 31, 2025 that would have a material impact on the Company’s financial position, results of operations, or liquidity.</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primary objective of the following information is to provide forward-looking quantitative and qualitative information about the Company’s exposure to market risk. The term market risk relates to the risk of loss arising from adverse changes in oil, natural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and global supply and demand. The Company continually monitors its market risk exposure, as oil and gas supply and demand are impacted by uncertainties in the commodity and financial markets, actions taken by foreign oil and gas producing nations, including OPEC+, and other current events.</w:t>
      </w:r>
    </w:p>
    <w:p>
      <w:pPr>
        <w:spacing w:after="0" w:line="14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Company’s average crude oil price realizations increased 7 percent from $73.73 per barrel to $78.69 per barrel during the first quarters of 2025 and 2026, respectively. The Company’s average natural gas price realizations decreased 25 percent from $2.81 per Mcf to $2.12 per Mcf during the first quarters of 2025 and 2026, respectively. The Company’s average NGL price realizations decreased 27 percent from $28.75 per barrel to $20.96 per barrel during the first quarters of 2025 and 2026, respectively. Based on average daily production for the first quarter of 2026, a $1.00 per barrel change in the weighted average realized oil price would have increased or decreased revenues for the quarter by approximately $21 million, a $0.10 per Mcf change in the weighted average realized natural gas price would have increased or decreased revenues for the quarter by approximately $7 million, and a $1.00 per barrel change in the weighted average realized NGL price would have increased or decreased revenues for the quarter by approximately $7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5" w:name="page36"/>
    <w:bookmarkEnd w:id="35"/>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The Company periodically enters into derivative positions on a portion of its projected crude oil and natural gas production through a variety of financial and physical arrangements intended to manage fluctuations in cash flows resulting from changes in commodity prices. Such derivative positions may include the use of futures contracts, swaps, and/or options. The Company does not hold or issue derivative instruments for trading purposes. As of March 31, 2026, the Company had open natural gas derivatives not designated as cash flow hedges in a liability position with a fair value of $122 million. A 10 percent increase in natural gas prices would decrease the liability by approximately $21 million, while a 10 percent decrease in prices would increase the liability by approximately $21 million. These fair value changes assume volatility based on prevailing market parameters at March 31, 2026. Refer to </w:t>
      </w:r>
      <w:r>
        <w:rPr>
          <w:rFonts w:ascii="Times New Roman" w:cs="Times New Roman" w:eastAsia="Times New Roman" w:hAnsi="Times New Roman"/>
          <w:sz w:val="18"/>
          <w:szCs w:val="18"/>
          <w:u w:val="single" w:color="auto"/>
          <w:color w:val="0000FF"/>
        </w:rPr>
        <w:t>Note 4—Derivative Instruments and Hedging Activities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Consolidated Financial Statements set forth in Part I, Item 1 of this Quarterly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on Form 10-Q for notional volumes and terms with the Company’s derivative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$4.4 billion, net, in outstanding notes and debentures, all of which was fixed-rate debt, with a weighted average interest rate of 5.62 percent. Although near-term changes in interest rates may affect the fair value of fixed-rate debt, such changes do not expose the Company to the risk of earnings or cash flow loss associated with that debt.</w:t>
      </w:r>
    </w:p>
    <w:p>
      <w:pPr>
        <w:spacing w:after="0" w:line="13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is also exposed to interest rate risk related to its interest-bearing cash and cash equivalents balances and amounts outstanding under its term loan facility, commercial paper program, and syndicated credit facilities. As of March 31, 2026, the Company had approximately $293 million in cash and cash equivalents, approximately 93 percent of which was invested in money market funds and short-term investments with major financial institutions. As of March 31, 2026, there were no borrowings outstanding under the Company’s term loan facility, commercial paper program, and syndicated revolving credit facilities. Changes in the interest rate applicable to short-term investments, term loan facility, commercial paper program, and credit facility borrowings are expected to have an immaterial impact on earnings and cash flows but could impact interest costs associated with future debt issuances or any future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Exchange Rate Risk</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cash activities relating to certain international operations is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spacing w:after="0" w:line="14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would not be material from a 10 percent weakening or strengthening, respectively, in the British pound as of March 31, 2026.</w:t>
      </w:r>
    </w:p>
    <w:p>
      <w:pPr>
        <w:spacing w:after="0" w:line="15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is subject to increased foreign currency risk associated with the effects of decommissioning obligations in the North Sea. The Company has periodically entered into foreign exchange contracts in order to minimize the impact of fluctuating exchange rates for the British pound on the Company’s operating expenses. As of March 31, 2026, the Company had outstanding foreign exchange contracts with a total notional amount of £108 million that are used to reduce its exposure to fluctuating foreign exchange rates for the British Pound. A 10 percent strengthening of the British pound against the U.S. dollar would result in a foreign currency net gain of $6 million, while a 10 percent weakening of the British pound against the U.S. dollar would result in a loss of $14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John J. Christmann IV, the Company’s Chief Executive Officer, in his capacity as principal executive officer, and Ben C. Rodgers, the Company’s Executive Vice President and Chief Financial Officer, in his capacity as principal financial officer, evaluated the effectiveness of the Company’s disclosure controls and procedures as of March 31, 2026,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the Company’s management, including its principal executive officer and principal financial officer, to allow timely decisions regarding required disclosure.</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Refer to Part I, Item 3—Legal Proceedings of the Company’s Annual Report on Form 10-K for the fiscal year ended December 31, 2025, and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10—Commitments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the Consolidated Financial Statements set forth in Part I, Item 1 of this Quarterly Report on Form 10-Q (which is hereby incorporated by reference herein), for a description of material legal proceedings.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herein, there have been no material changes to the risk factors disclosed in Part I, Item 1A—Risk Factors of the Company’s Annual Report on Form 10-K for the fiscal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OPERATIONS</w:t>
      </w:r>
    </w:p>
    <w:p>
      <w:pPr>
        <w:spacing w:after="0" w:line="185"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Escalation of the current armed conflict involving Iran could further increase commodity price volatility, disrupt global energy markets and infrastructure, and adversely affect the Company’s operations, financial condition, and cash flows.</w:t>
      </w:r>
    </w:p>
    <w:p>
      <w:pPr>
        <w:spacing w:after="0" w:line="13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ongoing conflict involving Iran has caused significant uncertainty in global energy and financial markets and disrupted supply chains. Escalation of the conflict or a broader regional conflict could further disrupt the production, transportation, and export of crude oil, natural gas (including liquefied natural gas), and NGLs, including through additional damage to or targeting of energy infrastructure, pipelines, refineries, export terminals, and related facilities. In addition, while not currently involving the Company’s assets or operations, instability affecting key transit routes, including the Strait of Hormuz, has resulted in shipping delays, rerouting, increased transportation and insurance costs, and reduced market access for the oil and gas industry in the Middle East, further contributing to commodity price volatility. The current elevated commodity price environment may increase input costs and contribute to broader inflationary pressures, including from the Company’s suppliers and contractors, and may reduce demand for the products the Company produces. Conversely, any resolution or de-escalation of the conflict could result in a rapid decline in commodity prices, which may adversely impact the Company’s revenues and operating results.</w:t>
      </w:r>
    </w:p>
    <w:p>
      <w:pPr>
        <w:spacing w:after="0" w:line="1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conflict also heightens the risk of indirect impacts on the Company’s business. State or state-sponsored cyber actors may target energy companies, critical infrastructure, financial institutions, or service providers, which could result in operational disruptions, loss of data, or other adverse effects. Regional instability may also affect countries in which the Company operates, including Egypt, by impairing government finances, limiting access to foreign currency, or delaying payments, which could adversely affect the Company’s ability to receive timely payment for production or repatriate funds. In addition, supply disruptions may increase reliance on domestically produced oil and natural gas in countries in which the Company operates, including Egypt, which could reduce volumes available for export and negatively impact realized prices. The occurrence of any of these events, individually or in combination, could materially adversely affect the Company’s business, financial condition, liquidity, and results of operations.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Company's Board of Directors authorized the purchase of 40 million shares of the Company’s common stock. Shares may be purchased either in the open market or through privately negotiated transactions. The Company is not obligated to acquire any specific number of shares and did not purchase any shares during the quarter ended March 31, 2026. The maximum number of shares that may yet be purchased under the current authorization is 21.9 million.</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officers or directors adopted or terminated any “Rule 10b5-1 trading arrangement” or “non-Rule 10b5-1 trading arrangement” (as such terms are defined in Item 408 of Regulation S-K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69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5320" w:type="dxa"/>
            <w:vAlign w:val="bottom"/>
            <w:gridSpan w:val="10"/>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540" w:type="dxa"/>
            <w:vAlign w:val="bottom"/>
          </w:tcPr>
          <w:p>
            <w:pPr>
              <w:spacing w:after="0"/>
              <w:rPr>
                <w:sz w:val="12"/>
                <w:szCs w:val="12"/>
                <w:color w:val="auto"/>
              </w:rPr>
            </w:pPr>
          </w:p>
        </w:tc>
        <w:tc>
          <w:tcPr>
            <w:tcW w:w="5320" w:type="dxa"/>
            <w:vAlign w:val="bottom"/>
            <w:gridSpan w:val="10"/>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0" w:type="dxa"/>
            <w:vAlign w:val="bottom"/>
          </w:tcPr>
          <w:p>
            <w:pPr>
              <w:spacing w:after="0"/>
              <w:rPr>
                <w:sz w:val="1"/>
                <w:szCs w:val="1"/>
                <w:color w:val="auto"/>
              </w:rPr>
            </w:pPr>
          </w:p>
        </w:tc>
      </w:tr>
      <w:tr>
        <w:trPr>
          <w:trHeight w:val="94"/>
        </w:trPr>
        <w:tc>
          <w:tcPr>
            <w:tcW w:w="108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5860" w:type="dxa"/>
            <w:vAlign w:val="bottom"/>
            <w:gridSpan w:val="11"/>
          </w:tcPr>
          <w:p>
            <w:pPr>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Certificate of Incorporation of Registrant, dated March</w:t>
              </w:r>
            </w:hyperlink>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8-K12B</w:t>
            </w:r>
          </w:p>
        </w:tc>
        <w:tc>
          <w:tcPr>
            <w:tcW w:w="1020" w:type="dxa"/>
            <w:vAlign w:val="bottom"/>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3/1/2021</w:t>
            </w: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25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1, 2021</w:t>
              </w:r>
              <w:r>
                <w:rPr>
                  <w:rFonts w:ascii="Times New Roman" w:cs="Times New Roman" w:eastAsia="Times New Roman" w:hAnsi="Times New Roman"/>
                  <w:sz w:val="18"/>
                  <w:szCs w:val="18"/>
                  <w:color w:val="000000"/>
                </w:rPr>
                <w:t>.</w:t>
              </w:r>
            </w:hyperlink>
          </w:p>
        </w:tc>
        <w:tc>
          <w:tcPr>
            <w:tcW w:w="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860" w:type="dxa"/>
            <w:vAlign w:val="bottom"/>
            <w:gridSpan w:val="1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Amendment  of  Amended  and  Restated  Certificate  of</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Incorporation of Registrant, dated May 24, 2023, as filed with the Secretary of</w:t>
              </w:r>
            </w:hyperlink>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78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State of the State of Delaware on May 24, 2023</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860" w:type="dxa"/>
            <w:vAlign w:val="bottom"/>
            <w:gridSpan w:val="11"/>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of Registrant, dated February 2, 2023</w:t>
              </w:r>
            </w:hyperlink>
            <w:r>
              <w:rPr>
                <w:rFonts w:ascii="Times New Roman" w:cs="Times New Roman" w:eastAsia="Times New Roman" w:hAnsi="Times New Roman"/>
                <w:sz w:val="18"/>
                <w:szCs w:val="18"/>
                <w:color w:val="000000"/>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Exchange</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Act) by Principal Executive Officer.</w:t>
            </w:r>
          </w:p>
        </w:tc>
        <w:tc>
          <w:tcPr>
            <w:tcW w:w="32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Exchange</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Act) by Principal Financial Officer.</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(pursuant  to  Sarbanes-Oxley  Section  906)  by</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Principal Executive Officer and Principal Financial Officer.</w:t>
            </w:r>
          </w:p>
        </w:tc>
        <w:tc>
          <w:tcPr>
            <w:tcW w:w="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5"/>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Registrant’s Quarterly Report on</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6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Form 10-Q for the quarter ended March 31, 2026, formatted in Inline XBRL: (i)</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6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Statement  of  Consolidated  Operations,  (ii)  Statement  of  Consolidated</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586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Comprehensive Income, (iii) Statement of Consolidated Cash Flows, (iv)</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6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Consolidated Balance Sheet, (v) Statement of Consolidated Changes in Equity</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6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and  Noncontrolling  Interests  and  (vi)  Notes  to  Consolidated  Financial</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*104</w:t>
            </w:r>
          </w:p>
        </w:tc>
        <w:tc>
          <w:tcPr>
            <w:tcW w:w="586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 CORPORATION</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2026</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 C. RODGERS</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C. Rodgers</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2026</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RAYPHOLE</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Rayphole</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Christmann IV, certify that:</w:t>
      </w:r>
    </w:p>
    <w:p>
      <w:pPr>
        <w:spacing w:after="0" w:line="144" w:lineRule="exact"/>
        <w:rPr>
          <w:sz w:val="20"/>
          <w:szCs w:val="20"/>
          <w:color w:val="auto"/>
        </w:rPr>
      </w:pPr>
    </w:p>
    <w:p>
      <w:pPr>
        <w:ind w:left="360" w:hanging="334"/>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 C. Rodgers, certify that:</w:t>
      </w:r>
    </w:p>
    <w:p>
      <w:pPr>
        <w:spacing w:after="0" w:line="144" w:lineRule="exact"/>
        <w:rPr>
          <w:sz w:val="20"/>
          <w:szCs w:val="20"/>
          <w:color w:val="auto"/>
        </w:rPr>
      </w:pPr>
    </w:p>
    <w:p>
      <w:pPr>
        <w:ind w:left="360" w:hanging="334"/>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 C. Rodgers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John J. Christmann IV, certify pursuant to 18 U.S.C. Section 1350, as adopted pursuant to Section 906 of the Sarbanes-Oxley Act of 2002, that, to my knowledge, the quarterly report on Form 10-Q of APA Corporation for the quarterly period ending March 31,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J. Christmann IV</w:t>
            </w:r>
          </w:p>
        </w:tc>
      </w:tr>
      <w:tr>
        <w:trPr>
          <w:trHeight w:val="22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Ben C. Rodgers, certify pursuant to 18 U.S.C. Section 1350, as adopted pursuant to Section 906 of the Sarbanes-Oxley Act of 2002, that, to my knowledge, the quarterly report on Form 10-Q of APA Corporation for the quarterly period ending March 31,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Ben C. Rodgers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Ben C. Rodgers</w:t>
            </w: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8" Type="http://schemas.openxmlformats.org/officeDocument/2006/relationships/hyperlink" Target="https://www.sec.gov/Archives/edgar/data/1841666/000119312521063695/d127090dex31.htm" TargetMode="External"/><Relationship Id="rId49" Type="http://schemas.openxmlformats.org/officeDocument/2006/relationships/hyperlink" Target="https://www.sec.gov/Archives/edgar/data/1841666/000119312523154218/d466832dex31.htm" TargetMode="External"/><Relationship Id="rId50" Type="http://schemas.openxmlformats.org/officeDocument/2006/relationships/hyperlink" Target="https://www.sec.gov/Archives/edgar/data/1841666/000119312523028378/d46208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2026-05-07T13:32:45Z</dcterms:created>
  <dcterms:modified xsi:type="dcterms:W3CDTF">2026-05-07T13:32:45Z</dcterms:modified>
</cp:coreProperties>
</file>