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2"/>
        </w:rPr>
        <w:t>Date of Report (Date of earliest event reported):</w:t>
      </w:r>
      <w:r>
        <w:rPr>
          <w:color w:val="000000"/>
        </w:rPr>
        <w:t xml:space="preserve"> </w:t>
      </w:r>
      <w:r>
        <w:rPr>
          <w:rFonts w:ascii="Times New Roman;serif" w:hAnsi="Times New Roman;serif"/>
          <w:b/>
          <w:color w:val="000000"/>
          <w:sz w:val="22"/>
        </w:rPr>
        <w:t>May 6, 2026</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3"/>
        </w:rPr>
      </w:pPr>
      <w:r>
        <w:rPr>
          <w:rFonts w:ascii="Times New Roman;serif" w:hAnsi="Times New Roman;serif"/>
          <w:b/>
          <w:color w:val="000000"/>
          <w:sz w:val="43"/>
        </w:rPr>
        <w:t>APA CORPORATION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513" w:type="dxa"/>
        <w:jc w:val="center"/>
        <w:tblInd w:w="0" w:type="dxa"/>
        <w:tblLayout w:type="fixed"/>
        <w:tblCellMar>
          <w:top w:w="28" w:type="dxa"/>
          <w:left w:w="28" w:type="dxa"/>
          <w:bottom w:w="28" w:type="dxa"/>
          <w:right w:w="28" w:type="dxa"/>
        </w:tblCellMar>
      </w:tblPr>
      <w:tblGrid>
        <w:gridCol w:w="1159"/>
        <w:gridCol w:w="1021"/>
        <w:gridCol w:w="1030"/>
        <w:gridCol w:w="109"/>
        <w:gridCol w:w="109"/>
        <w:gridCol w:w="109"/>
        <w:gridCol w:w="687"/>
        <w:gridCol w:w="687"/>
        <w:gridCol w:w="695"/>
        <w:gridCol w:w="109"/>
        <w:gridCol w:w="109"/>
        <w:gridCol w:w="109"/>
        <w:gridCol w:w="752"/>
        <w:gridCol w:w="752"/>
        <w:gridCol w:w="1076"/>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001-40144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86-1430562</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2000 W Sam Houston Pkwy S, Suite 200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Houston, Texas 77042-3643</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6"/>
        </w:rPr>
        <w:t>(713) 296-6000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ind w:left="0" w:right="0" w:hanging="64"/>
        <w:jc w:val="left"/>
        <w:rPr/>
      </w:pPr>
      <w:r>
        <w:rPr>
          <w:color w:val="000000"/>
        </w:rPr>
        <w:t>☐    </w:t>
      </w:r>
      <w:r>
        <w:rPr>
          <w:rFonts w:ascii="Times New Roman;serif" w:hAnsi="Times New Roman;serif"/>
          <w:b w:val="false"/>
          <w:color w:val="000000"/>
          <w:sz w:val="18"/>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6755" w:type="dxa"/>
        <w:jc w:val="left"/>
        <w:tblInd w:w="0" w:type="dxa"/>
        <w:tblLayout w:type="fixed"/>
        <w:tblCellMar>
          <w:top w:w="28" w:type="dxa"/>
          <w:left w:w="28" w:type="dxa"/>
          <w:bottom w:w="28" w:type="dxa"/>
          <w:right w:w="28" w:type="dxa"/>
        </w:tblCellMar>
      </w:tblPr>
      <w:tblGrid>
        <w:gridCol w:w="967"/>
        <w:gridCol w:w="848"/>
        <w:gridCol w:w="855"/>
        <w:gridCol w:w="109"/>
        <w:gridCol w:w="109"/>
        <w:gridCol w:w="109"/>
        <w:gridCol w:w="233"/>
        <w:gridCol w:w="233"/>
        <w:gridCol w:w="238"/>
        <w:gridCol w:w="109"/>
        <w:gridCol w:w="109"/>
        <w:gridCol w:w="109"/>
        <w:gridCol w:w="784"/>
        <w:gridCol w:w="784"/>
        <w:gridCol w:w="787"/>
        <w:gridCol w:w="109"/>
        <w:gridCol w:w="109"/>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Name of each exchange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$0.625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Texas,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1"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09" w:before="0" w:after="0"/>
        <w:jc w:val="both"/>
        <w:rPr>
          <w:rFonts w:ascii="Times New Roman;serif" w:hAnsi="Times New Roman;serif"/>
          <w:b w:val="false"/>
          <w:color w:val="000000"/>
          <w:sz w:val="18"/>
        </w:rPr>
      </w:pPr>
      <w:r>
        <w:rPr>
          <w:rFonts w:ascii="Times New Roman;serif" w:hAnsi="Times New Roman;serif"/>
          <w:b w:val="false"/>
          <w:color w:val="000000"/>
          <w:sz w:val="18"/>
        </w:rPr>
        <w:t>The information in this Current Report on Form 8-K, including Exhibit 99.1 furnished herewith, is being furnished and shall not be deemed “filed” for purposes of Section 18 of the Exchange Act or otherwise subject to the liabilities of Section 18, and shall not be incorporated by reference in any filing under the Securities Act or the Exchange Act, except as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18"/>
        </w:rPr>
        <w:t>Item 2.02.</w:t>
      </w:r>
      <w:r>
        <w:rPr>
          <w:color w:val="000000"/>
        </w:rPr>
        <w:t>    </w:t>
      </w:r>
      <w:r>
        <w:rPr>
          <w:rFonts w:ascii="Times New Roman;serif" w:hAnsi="Times New Roman;serif"/>
          <w:b/>
          <w:color w:val="000000"/>
          <w:sz w:val="18"/>
        </w:rPr>
        <w:t>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May 6, 2026, APA Corporation issued a press release announcing financial and operating results for the fiscal quarter ended March 31, 2026. The full text of the press release is furnished herewith as Exhibit 99.1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Item 9.01.</w:t>
      </w:r>
      <w:r>
        <w:rPr>
          <w:color w:val="000000"/>
        </w:rPr>
        <w:t>    </w:t>
      </w:r>
      <w:r>
        <w:rPr>
          <w:rFonts w:ascii="Times New Roman;serif" w:hAnsi="Times New Roman;serif"/>
          <w:b/>
          <w:color w:val="000000"/>
          <w:sz w:val="18"/>
        </w:rPr>
        <w:t>Financial Statements and Exhibits.</w:t>
      </w:r>
    </w:p>
    <w:p>
      <w:pPr>
        <w:pStyle w:val="TextBody"/>
        <w:bidi w:val="0"/>
        <w:spacing w:before="0" w:after="0"/>
        <w:jc w:val="left"/>
        <w:rPr/>
      </w:pPr>
      <w:r>
        <w:rPr/>
      </w:r>
    </w:p>
    <w:p>
      <w:pPr>
        <w:pStyle w:val="TextBody"/>
        <w:bidi w:val="0"/>
        <w:spacing w:lineRule="auto" w:line="288" w:before="0" w:after="0"/>
        <w:ind w:left="0" w:right="0" w:hanging="424"/>
        <w:jc w:val="left"/>
        <w:rPr>
          <w:rFonts w:ascii="Times New Roman;serif" w:hAnsi="Times New Roman;serif"/>
          <w:b/>
          <w:color w:val="000000"/>
          <w:sz w:val="18"/>
        </w:rPr>
      </w:pPr>
      <w:r>
        <w:rPr>
          <w:rFonts w:ascii="Times New Roman;serif" w:hAnsi="Times New Roman;serif"/>
          <w:b/>
          <w:color w:val="000000"/>
          <w:sz w:val="18"/>
        </w:rPr>
        <w:t>(d)Exhibits.</w:t>
      </w:r>
    </w:p>
    <w:p>
      <w:pPr>
        <w:pStyle w:val="TextBody"/>
        <w:bidi w:val="0"/>
        <w:spacing w:before="0" w:after="0"/>
        <w:jc w:val="left"/>
        <w:rPr/>
      </w:pPr>
      <w:r>
        <w:rPr/>
      </w:r>
    </w:p>
    <w:tbl>
      <w:tblPr>
        <w:tblW w:w="6984" w:type="dxa"/>
        <w:jc w:val="left"/>
        <w:tblInd w:w="0" w:type="dxa"/>
        <w:tblLayout w:type="fixed"/>
        <w:tblCellMar>
          <w:top w:w="28" w:type="dxa"/>
          <w:left w:w="28" w:type="dxa"/>
          <w:bottom w:w="28" w:type="dxa"/>
          <w:right w:w="28" w:type="dxa"/>
        </w:tblCellMar>
      </w:tblPr>
      <w:tblGrid>
        <w:gridCol w:w="299"/>
        <w:gridCol w:w="261"/>
        <w:gridCol w:w="264"/>
        <w:gridCol w:w="109"/>
        <w:gridCol w:w="109"/>
        <w:gridCol w:w="109"/>
        <w:gridCol w:w="1324"/>
        <w:gridCol w:w="1324"/>
        <w:gridCol w:w="1328"/>
        <w:gridCol w:w="544"/>
        <w:gridCol w:w="544"/>
        <w:gridCol w:w="769"/>
      </w:tblGrid>
      <w:tr>
        <w:trPr/>
        <w:tc>
          <w:tcPr>
            <w:tcW w:w="2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Exhibit 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Description</w:t>
            </w:r>
          </w:p>
        </w:tc>
        <w:tc>
          <w:tcPr>
            <w:tcW w:w="1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exhibit9911q26earningsrele.htm">
              <w:r>
                <w:rPr>
                  <w:rStyle w:val="InternetLink"/>
                  <w:rFonts w:ascii="Times New Roman;serif" w:hAnsi="Times New Roman;serif"/>
                  <w:b w:val="false"/>
                  <w:color w:val="0000FF"/>
                  <w:sz w:val="18"/>
                  <w:u w:val="single"/>
                </w:rPr>
                <w:t>Press Release of APA Corporation dated May 6, 2026.</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326" w:before="0" w:after="0"/>
        <w:jc w:val="left"/>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before="0" w:after="0"/>
        <w:jc w:val="left"/>
        <w:rPr/>
      </w:pPr>
      <w:r>
        <w:rPr/>
      </w:r>
    </w:p>
    <w:tbl>
      <w:tblPr>
        <w:tblW w:w="6074" w:type="dxa"/>
        <w:jc w:val="left"/>
        <w:tblInd w:w="0" w:type="dxa"/>
        <w:tblLayout w:type="fixed"/>
        <w:tblCellMar>
          <w:top w:w="28" w:type="dxa"/>
          <w:left w:w="28" w:type="dxa"/>
          <w:bottom w:w="28" w:type="dxa"/>
          <w:right w:w="28" w:type="dxa"/>
        </w:tblCellMar>
      </w:tblPr>
      <w:tblGrid>
        <w:gridCol w:w="179"/>
        <w:gridCol w:w="157"/>
        <w:gridCol w:w="159"/>
        <w:gridCol w:w="339"/>
        <w:gridCol w:w="339"/>
        <w:gridCol w:w="341"/>
        <w:gridCol w:w="120"/>
        <w:gridCol w:w="120"/>
        <w:gridCol w:w="120"/>
        <w:gridCol w:w="1230"/>
        <w:gridCol w:w="1230"/>
        <w:gridCol w:w="1740"/>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By:</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P. Rayphole</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Chief Accounting Officer, and Controller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right"/>
        <w:rPr>
          <w:rFonts w:ascii="Times New Roman;serif" w:hAnsi="Times New Roman;serif"/>
          <w:b/>
          <w:color w:val="000000"/>
          <w:sz w:val="18"/>
        </w:rPr>
      </w:pPr>
      <w:r>
        <w:rPr>
          <w:rFonts w:ascii="Times New Roman;serif" w:hAnsi="Times New Roman;serif"/>
          <w:b/>
          <w:color w:val="000000"/>
          <w:sz w:val="1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904875"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04875" cy="561975"/>
                    </a:xfrm>
                    <a:prstGeom prst="rect">
                      <a:avLst/>
                    </a:prstGeom>
                  </pic:spPr>
                </pic:pic>
              </a:graphicData>
            </a:graphic>
          </wp:inline>
        </w:drawing>
      </w:r>
    </w:p>
    <w:p>
      <w:pPr>
        <w:pStyle w:val="TextBody"/>
        <w:bidi w:val="0"/>
        <w:spacing w:lineRule="auto" w:line="288" w:before="0" w:after="0"/>
        <w:jc w:val="right"/>
        <w:rPr>
          <w:rFonts w:ascii="Times New Roman;serif" w:hAnsi="Times New Roman;serif"/>
          <w:b w:val="false"/>
          <w:color w:val="000000"/>
          <w:sz w:val="22"/>
        </w:rPr>
      </w:pPr>
      <w:r>
        <w:rPr>
          <w:rFonts w:ascii="Times New Roman;serif" w:hAnsi="Times New Roman;serif"/>
          <w:b w:val="false"/>
          <w:color w:val="000000"/>
          <w:sz w:val="22"/>
        </w:rPr>
        <w:t>NEWS RELEASE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 Announces First-Quarter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Financial and Operational Results</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i/>
          <w:color w:val="000000"/>
          <w:sz w:val="18"/>
        </w:rPr>
      </w:pPr>
      <w:r>
        <w:rPr>
          <w:rFonts w:ascii="Times New Roman;serif" w:hAnsi="Times New Roman;serif"/>
          <w:b/>
          <w:i/>
          <w:color w:val="000000"/>
          <w:sz w:val="18"/>
        </w:rPr>
        <w:t>First-quarter 2026 and recent highlights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18"/>
        </w:rPr>
        <w:t>Reported production of 442,000 barrels of oil equivalent (BOE) per day in the first quarter; adjusted production, which excludes Egypt noncontrolling interest and tax barrels, was 363,000 BOE per day;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18"/>
        </w:rPr>
        <w:t>Delivered U.S. oil production of 124,000 barrels per day, driven by continued Permian efficiency gains and improved uptime; raised full-year U.S. oil production outlook to 122,000 barrels per day, Permian capital spending unchanged at $1.3 billion;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18"/>
        </w:rPr>
        <w:t xml:space="preserve">Generated $554 million net cash provided by operating activities, $477 million of free cash flow, and $1.6 billion of adjusted EBITDAX;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18"/>
        </w:rPr>
        <w:t>Continued progress on cost reduction initiatives, maintaining trajectory toward $450 million cumulative run-rate savings by year-end 2026;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i/>
          <w:color w:val="000000"/>
          <w:sz w:val="18"/>
        </w:rPr>
        <w:t>Repaid $634 million in near-term bond maturities through April 2026;</w:t>
      </w:r>
      <w:r>
        <w:rPr>
          <w:color w:val="000000"/>
        </w:rPr>
        <w:t xml:space="preserve"> </w:t>
      </w:r>
      <w:r>
        <w:rPr>
          <w:rFonts w:ascii="Times New Roman;serif" w:hAnsi="Times New Roman;serif"/>
          <w:b w:val="false"/>
          <w:i/>
          <w:color w:val="000000"/>
          <w:sz w:val="18"/>
        </w:rPr>
        <w:t>combined with prior deleveraging actions, interest expense expected to be more than $60 million lower in 2026</w:t>
      </w:r>
    </w:p>
    <w:p>
      <w:pPr>
        <w:pStyle w:val="TextBody"/>
        <w:bidi w:val="0"/>
        <w:spacing w:before="0" w:after="12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HOUSTON, May 6, 2026 – APA Corporation (Nasdaq: APA) today announced its financial and operational results for the first quarter of 2026. APA reported net income attributable to common stock of $446 million, or $1.26 per share on a fully diluted basis. When adjusted for certain items that impact the comparability of results, APA’s first-quarter earnings totaled $489 million, or $1.38 per diluted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First-quarter summary</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First-quarter reported production was 442,000 BOE per day and adjusted production, which excludes Egypt noncontrolling interest and tax barrels, was 363,000 BOE per day. U.S. oil production averaged 124,000 barrels per day, exceeding guidance set in February from continued efficiency gains and improved uptime in the Permian Basin. In Egypt, adjusted production averaged 71,000 BOE per day, reflecting production sharing contract (PSC) impacts associated with higher oil prices. Underlying gross oil production benefited from strong well performance. Gross gas production averaged 518 million cubic feet (MMCF) per day, in-line with guidance. </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Upstream capital investment and lease operating expense (LOE) were below guidance. Adjusted EBITDAX was $1.6 billion, and free cash flow totaled $477 million. </w:t>
      </w:r>
    </w:p>
    <w:p>
      <w:pPr>
        <w:pStyle w:val="TextBody"/>
        <w:bidi w:val="0"/>
        <w:spacing w:before="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FIRST-QUARTER 2026</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2 of 4</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Debt management and shareholder return</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Through April 2026, APA repaid $634 million in near-term bond maturities. Combined with deleveraging actions in 2025, this is expected to reduce annual interest expense by more than $60 million in 2026. In addition, APA returned $88 million to shareholders through dividends in the first quarter. The company remains committed to its capital returns framework.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CEO commentary</w:t>
      </w:r>
    </w:p>
    <w:p>
      <w:pPr>
        <w:pStyle w:val="TextBody"/>
        <w:bidi w:val="0"/>
        <w:spacing w:before="0" w:after="0"/>
        <w:jc w:val="both"/>
        <w:rPr/>
      </w:pPr>
      <w:r>
        <w:rPr/>
      </w:r>
    </w:p>
    <w:p>
      <w:pPr>
        <w:pStyle w:val="TextBody"/>
        <w:bidi w:val="0"/>
        <w:spacing w:lineRule="auto" w:line="360" w:before="0" w:after="0"/>
        <w:jc w:val="both"/>
        <w:rPr>
          <w:color w:val="000000"/>
        </w:rPr>
      </w:pPr>
      <w:r>
        <w:rPr>
          <w:color w:val="000000"/>
        </w:rPr>
        <w:t>“</w:t>
      </w:r>
      <w:r>
        <w:rPr>
          <w:rFonts w:ascii="Times New Roman;serif" w:hAnsi="Times New Roman;serif"/>
          <w:b w:val="false"/>
          <w:color w:val="000000"/>
          <w:sz w:val="18"/>
        </w:rPr>
        <w:t>Our first-quarter results reflect consistent execution across the portfolio,” said John J. Christmann IV, APA’s chief executive officer. “We delivered strong operational performance, exceeded U.S. oil production guidance, and generated significant free cash flow while maintaining capital discipline. At the same time, we continue to structurally lower our cost base, strengthen the balance sheet, and advance our high-quality portfolio of development and exploration opportunities.”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Second-quarter and full-year update</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For the second quarter, APA expects U.S. oil production of 121,000 barrels per day. In Egypt, gross gas production is expected to increase to 540 MMCF per day, supported by ongoing success in the gas-focused drilling program. Upstream capital investment is projected to be approximately $575 million.</w:t>
      </w:r>
    </w:p>
    <w:p>
      <w:pPr>
        <w:pStyle w:val="TextBody"/>
        <w:bidi w:val="0"/>
        <w:spacing w:before="0" w:after="0"/>
        <w:jc w:val="both"/>
        <w:rPr/>
      </w:pPr>
      <w:r>
        <w:rPr/>
      </w:r>
    </w:p>
    <w:p>
      <w:pPr>
        <w:pStyle w:val="TextBody"/>
        <w:bidi w:val="0"/>
        <w:spacing w:lineRule="auto" w:line="360" w:before="0" w:after="0"/>
        <w:jc w:val="both"/>
        <w:rPr>
          <w:rFonts w:ascii="Times New Roman;serif" w:hAnsi="Times New Roman;serif"/>
          <w:b w:val="false"/>
          <w:color w:val="000000"/>
          <w:sz w:val="18"/>
        </w:rPr>
      </w:pPr>
      <w:r>
        <w:rPr>
          <w:rFonts w:ascii="Times New Roman;serif" w:hAnsi="Times New Roman;serif"/>
          <w:b w:val="false"/>
          <w:color w:val="000000"/>
          <w:sz w:val="18"/>
        </w:rPr>
        <w:t>For the full-year 2026, the company is raising its U.S. oil production outlook to 122,000 barrels per day, reflecting strong uptime and continued efficiency gains in the Permian Basin. The company also reaffirms its prior guidance range of 540 – 550 MMCF per day for Egypt gross gas production. APA’s upstream capital investment and LOE guidance both remain unchanged at approximately $2.1 billion and $1.5 billion,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Conference call</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APA will host a conference call to discuss its first-quarter 2026 results at 10 a.m. Central time, Thursday, May 7. The conference call will be webcast from APA’s website at </w:t>
      </w:r>
      <w:r>
        <w:rPr>
          <w:rFonts w:ascii="Times New Roman;serif" w:hAnsi="Times New Roman;serif"/>
          <w:b w:val="false"/>
          <w:color w:val="000000"/>
          <w:sz w:val="18"/>
          <w:u w:val="single"/>
        </w:rPr>
        <w:t>www.apacorp.com</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18"/>
          <w:u w:val="single"/>
        </w:rPr>
        <w:t>investor.apacorp.com</w:t>
      </w:r>
      <w:r>
        <w:rPr>
          <w:rFonts w:ascii="Times New Roman;serif" w:hAnsi="Times New Roman;serif"/>
          <w:b w:val="false"/>
          <w:color w:val="000000"/>
          <w:sz w:val="18"/>
        </w:rPr>
        <w:t>. Following the conference call, a replay will be available for one year on the “Investors” page of the company’s website.</w:t>
      </w:r>
    </w:p>
    <w:p>
      <w:pPr>
        <w:pStyle w:val="TextBody"/>
        <w:bidi w:val="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FIRST-QUARTER 2026</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3 of 4</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About APA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APA Corporation owns consolidated subsidiaries that explore for and produce oil and natural gas in the United States, Egypt and the United Kingdom and that explore for oil and natural gas offshore Suriname and elsewhere. APA posts announcements, operational updates, investor information and press releases on its website, </w:t>
      </w:r>
      <w:r>
        <w:rPr>
          <w:rFonts w:ascii="Times New Roman;serif" w:hAnsi="Times New Roman;serif"/>
          <w:b w:val="false"/>
          <w:color w:val="000000"/>
          <w:sz w:val="18"/>
          <w:u w:val="single"/>
        </w:rPr>
        <w:t>www.apacorp.com</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Additional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 xml:space="preserve">Additional information follows, including reconciliations of adjusted earnings, adjusted EBITDAX, upstream capital investment, net debt, cash flows from operations before changes in operating assets and liabilities and free cash flow (non-GAAP financial measures) to GAAP measures and information regarding adjusted production. APA’s quarterly supplement is available at </w:t>
      </w:r>
      <w:r>
        <w:rPr>
          <w:rFonts w:ascii="Times New Roman;serif" w:hAnsi="Times New Roman;serif"/>
          <w:b w:val="false"/>
          <w:color w:val="000000"/>
          <w:sz w:val="18"/>
          <w:u w:val="single"/>
        </w:rPr>
        <w:t>http://www.apacorp.com/financialdata</w:t>
      </w:r>
      <w:r>
        <w:rPr>
          <w:rFonts w:ascii="Times New Roman;serif" w:hAnsi="Times New Roman;serif"/>
          <w:b w:val="false"/>
          <w:color w:val="000000"/>
          <w:sz w:val="18"/>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7"/>
        </w:rPr>
        <w:t>APA’s financial information includes information prepared in conformity with generally accepted accounting principles (GAAP) as well as non-GAAP financial information. It is management’s intent to provide non-GAAP financial information to enhance understanding of our consolidated financial information as prepared in accordance with GAAP. Adjusted earnings, adjusted EBITDAX, upstream capital investment</w:t>
      </w:r>
      <w:r>
        <w:rPr>
          <w:rFonts w:ascii="Times New Roman;serif" w:hAnsi="Times New Roman;serif"/>
          <w:b w:val="false"/>
          <w:i/>
          <w:color w:val="000000"/>
          <w:sz w:val="17"/>
        </w:rPr>
        <w:t>,</w:t>
      </w:r>
      <w:r>
        <w:rPr>
          <w:color w:val="000000"/>
        </w:rPr>
        <w:t xml:space="preserve"> </w:t>
      </w:r>
      <w:r>
        <w:rPr>
          <w:rFonts w:ascii="Times New Roman;serif" w:hAnsi="Times New Roman;serif"/>
          <w:b w:val="false"/>
          <w:color w:val="000000"/>
          <w:sz w:val="17"/>
        </w:rPr>
        <w:t>net debt, cash flows from operations before changes in operating assets and liabilities and free cash flow are non-GAAP measures. This non-GAAP information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news release contains forward-looking statements within the meaning of Section 27A of the Securities Act of 1933 and Section 21E of the Securities Exchange Act of 1934. Forward-looking statements can be identified by words such as “anticipates,” “intends,” “plans,” “seeks,” “believes,” “continues,” “could,” “estimates,” “expects,” “goals,” “guidance,” “may,” “might,” “outlook,” “possibly,” “potential,” “projects,” “prospects,” “should,” “upside,” “will,” “would,” and similar references to future periods, but the absence of these words does not mean that a statement is not forward-looking. These statements include, but are not limited to, statements about future plans, expectations, and objectives for operations, including statements about our capital plans, drilling plans, production expectations, asset sales, monetizations, and interest and other cost savings. While forward-looking statements are based on assumptions and analyses made by us that we believe to be reasonable under the circumstances, whether actual results and developments will meet our expectations and predictions depend on a number of risks and uncertainties which could cause our actual results, performance, and financial condition to differ materially from our expectations. See “Risk Factors” in APA’s Form 10-K for the year ended December 31, 2025, and in our quarterly reports on Form 10-Q for a discussion of risk factors that affect our business. Any forward-looking statement made in this news release speaks only as of the date on which it is made. Factors or events that could cause our actual results to differ may emerge from time to time, and it is not possible for us to predict all of them. APA and its subsidiaries undertake no obligation to publicly update any forward-looking statement, whether as a result of new information, future development or otherwise, except as may be required by law.</w:t>
      </w:r>
    </w:p>
    <w:p>
      <w:pPr>
        <w:pStyle w:val="TextBody"/>
        <w:bidi w:val="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APA CORPORATION ANNOUNCES FIRST-QUARTER 2026</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0"/>
        </w:rPr>
        <w:t xml:space="preserve">FINANCIAL AND OPERATIONAL RESULTS </w:t>
      </w:r>
      <w:r>
        <w:rPr>
          <w:color w:val="000000"/>
        </w:rPr>
        <w:t xml:space="preserve">— </w:t>
      </w:r>
      <w:r>
        <w:rPr>
          <w:rFonts w:ascii="Times New Roman;serif" w:hAnsi="Times New Roman;serif"/>
          <w:b w:val="false"/>
          <w:color w:val="000000"/>
          <w:sz w:val="20"/>
        </w:rPr>
        <w:t>PAGE 4 of 4</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Cautionary note to investors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United States Securities and Exchange Commission permits oil and gas companies, in their filings with the SEC, to disclose only proved, probable, and possible reserves that meet the SEC’s definitions for such terms. APA may use certain terms in this news release, such as “resources,” “potential resources,” “resource potential,” “estimated net reserves,” “recoverable reserves,” and other similar terms that the SEC guidelines strictly prohibit APA from including in filings with the SEC. Such terms do not take into account the certainty of resource recovery, which is contingent on exploration success, technical improvements in drilling access, commerciality, and other factors, and are therefore not indicative of expected future resource recovery and should not be relied upon. Investors are urged to consider carefully the disclosure in APA’s Annual Report on Form 10-K for the fiscal year ended Dec. 31, 2025, available from APA at www.apacorp.com or by writing APA at: 2000 W. Sam Houston Pkwy S, Suite. 200, Houston, TX 77042 (Attn: Corporate Secretary). You can also obtain this report from the SEC by calling 1-800-SEC-0330 or from the SEC’s website at www.sec.gov.</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Contacts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Investor: (281) 302-2286 | ir@apachecorp.com</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Media:  (713) 296-7276 | media@apachecorp.com</w:t>
      </w:r>
    </w:p>
    <w:p>
      <w:pPr>
        <w:pStyle w:val="TextBody"/>
        <w:bidi w:val="0"/>
        <w:spacing w:lineRule="auto" w:line="288" w:before="0" w:after="0"/>
        <w:jc w:val="left"/>
        <w:rPr/>
      </w:pPr>
      <w:r>
        <w:rPr>
          <w:rFonts w:ascii="Times New Roman;serif" w:hAnsi="Times New Roman;serif"/>
          <w:b w:val="false"/>
          <w:color w:val="000000"/>
          <w:sz w:val="18"/>
        </w:rPr>
        <w:t>Website: </w:t>
      </w:r>
      <w:r>
        <w:rPr>
          <w:rFonts w:ascii="Times New Roman;serif" w:hAnsi="Times New Roman;serif"/>
          <w:b w:val="false"/>
          <w:color w:val="000000"/>
          <w:sz w:val="18"/>
          <w:u w:val="single"/>
        </w:rPr>
        <w:t>www.apacorp.com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 share data)</w:t>
      </w:r>
    </w:p>
    <w:p>
      <w:pPr>
        <w:pStyle w:val="TextBody"/>
        <w:bidi w:val="0"/>
        <w:spacing w:before="0" w:after="0"/>
        <w:jc w:val="left"/>
        <w:rPr/>
      </w:pPr>
      <w:r>
        <w:rPr/>
      </w:r>
    </w:p>
    <w:tbl>
      <w:tblPr>
        <w:tblW w:w="9276" w:type="dxa"/>
        <w:jc w:val="left"/>
        <w:tblInd w:w="0" w:type="dxa"/>
        <w:tblLayout w:type="fixed"/>
        <w:tblCellMar>
          <w:top w:w="28" w:type="dxa"/>
          <w:left w:w="28" w:type="dxa"/>
          <w:bottom w:w="28" w:type="dxa"/>
          <w:right w:w="28" w:type="dxa"/>
        </w:tblCellMar>
      </w:tblPr>
      <w:tblGrid>
        <w:gridCol w:w="2325"/>
        <w:gridCol w:w="2042"/>
        <w:gridCol w:w="2052"/>
        <w:gridCol w:w="109"/>
        <w:gridCol w:w="109"/>
        <w:gridCol w:w="109"/>
        <w:gridCol w:w="196"/>
        <w:gridCol w:w="556"/>
        <w:gridCol w:w="109"/>
        <w:gridCol w:w="109"/>
        <w:gridCol w:w="109"/>
        <w:gridCol w:w="109"/>
        <w:gridCol w:w="196"/>
        <w:gridCol w:w="556"/>
        <w:gridCol w:w="109"/>
        <w:gridCol w:w="109"/>
        <w:gridCol w:w="109"/>
        <w:gridCol w:w="109"/>
        <w:gridCol w:w="154"/>
      </w:tblGrid>
      <w:tr>
        <w:trPr/>
        <w:tc>
          <w:tcPr>
            <w:tcW w:w="2325"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REVENUES AND OTHER:</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natural gas, and natural gas liquids production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liquids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and gas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instrument losses,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Gathering, processing, and transmission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 oil and gas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other than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and separation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depletion,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and gas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INCLUDING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ATTRIBUTABLE TO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WEIGHTED-AVERAGE NUMBER OF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DIVIDENDS DECLARED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PRODUCTION INFORMATION</w:t>
      </w:r>
    </w:p>
    <w:p>
      <w:pPr>
        <w:pStyle w:val="TextBody"/>
        <w:bidi w:val="0"/>
        <w:spacing w:before="0" w:after="0"/>
        <w:jc w:val="center"/>
        <w:rPr/>
      </w:pPr>
      <w:r>
        <w:rPr/>
      </w:r>
    </w:p>
    <w:tbl>
      <w:tblPr>
        <w:tblW w:w="10043" w:type="dxa"/>
        <w:jc w:val="left"/>
        <w:tblInd w:w="0" w:type="dxa"/>
        <w:tblLayout w:type="fixed"/>
        <w:tblCellMar>
          <w:top w:w="28" w:type="dxa"/>
          <w:left w:w="28" w:type="dxa"/>
          <w:bottom w:w="28" w:type="dxa"/>
          <w:right w:w="28" w:type="dxa"/>
        </w:tblCellMar>
      </w:tblPr>
      <w:tblGrid>
        <w:gridCol w:w="1227"/>
        <w:gridCol w:w="1078"/>
        <w:gridCol w:w="1085"/>
        <w:gridCol w:w="368"/>
        <w:gridCol w:w="368"/>
        <w:gridCol w:w="236"/>
        <w:gridCol w:w="109"/>
        <w:gridCol w:w="109"/>
        <w:gridCol w:w="109"/>
        <w:gridCol w:w="368"/>
        <w:gridCol w:w="368"/>
        <w:gridCol w:w="296"/>
        <w:gridCol w:w="109"/>
        <w:gridCol w:w="109"/>
        <w:gridCol w:w="109"/>
        <w:gridCol w:w="368"/>
        <w:gridCol w:w="368"/>
        <w:gridCol w:w="236"/>
        <w:gridCol w:w="109"/>
        <w:gridCol w:w="109"/>
        <w:gridCol w:w="109"/>
        <w:gridCol w:w="314"/>
        <w:gridCol w:w="314"/>
        <w:gridCol w:w="316"/>
        <w:gridCol w:w="109"/>
        <w:gridCol w:w="109"/>
        <w:gridCol w:w="109"/>
        <w:gridCol w:w="314"/>
        <w:gridCol w:w="314"/>
        <w:gridCol w:w="316"/>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1Q26 to 4Q25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1Q26 to 1Q25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OIL VOLUME - Barrels per day</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tLeast" w:line="216" w:before="0" w:after="0"/>
              <w:jc w:val="left"/>
              <w:rPr/>
            </w:pPr>
            <w:r>
              <w:rPr>
                <w:rFonts w:ascii="Times New Roman;serif" w:hAnsi="Times New Roman;serif"/>
                <w:b w:val="false"/>
                <w:color w:val="000000"/>
                <w:sz w:val="18"/>
              </w:rPr>
              <w:t xml:space="preserve">Egypt </w:t>
            </w:r>
            <w:r>
              <w:rPr>
                <w:rFonts w:ascii="Times New Roman;serif" w:hAnsi="Times New Roman;serif"/>
                <w:b w:val="false"/>
                <w:color w:val="000000"/>
                <w:sz w:val="12"/>
              </w:rPr>
              <w:t>(1,2)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88,952 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86,173 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231,970 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243,697 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236,503 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NATURAL GAS VOLUME - Mcf per day</w:t>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413,975 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442,086 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574,736 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tLeast" w:line="216" w:before="0" w:after="0"/>
              <w:jc w:val="left"/>
              <w:rPr/>
            </w:pPr>
            <w:r>
              <w:rPr>
                <w:rFonts w:ascii="Times New Roman;serif" w:hAnsi="Times New Roman;serif"/>
                <w:b w:val="false"/>
                <w:color w:val="000000"/>
                <w:sz w:val="18"/>
              </w:rPr>
              <w:t xml:space="preserve">Egypt </w:t>
            </w:r>
            <w:r>
              <w:rPr>
                <w:rFonts w:ascii="Times New Roman;serif" w:hAnsi="Times New Roman;serif"/>
                <w:b w:val="false"/>
                <w:color w:val="000000"/>
                <w:sz w:val="12"/>
              </w:rPr>
              <w:t>(1, 2)</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381,406 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365,216 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317,209 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824,426 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837,065 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923,551 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NGL VOLUME - Barrels per day</w:t>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78,549 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BOE per day</w:t>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264,720 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281,051 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298,319 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tLeast" w:line="216" w:before="0" w:after="0"/>
              <w:jc w:val="left"/>
              <w:rPr/>
            </w:pPr>
            <w:r>
              <w:rPr>
                <w:rFonts w:ascii="Times New Roman;serif" w:hAnsi="Times New Roman;serif"/>
                <w:b w:val="false"/>
                <w:color w:val="000000"/>
                <w:sz w:val="18"/>
              </w:rPr>
              <w:t xml:space="preserve">Egypt </w:t>
            </w:r>
            <w:r>
              <w:rPr>
                <w:rFonts w:ascii="Times New Roman;serif" w:hAnsi="Times New Roman;serif"/>
                <w:b w:val="false"/>
                <w:color w:val="000000"/>
                <w:sz w:val="12"/>
              </w:rPr>
              <w:t>(1, 2)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150,304 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149,821 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139,041 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tLeast" w:line="223" w:before="0" w:after="0"/>
              <w:jc w:val="left"/>
              <w:rPr/>
            </w:pPr>
            <w:r>
              <w:rPr>
                <w:rFonts w:ascii="Times New Roman;serif" w:hAnsi="Times New Roman;serif"/>
                <w:b w:val="false"/>
                <w:color w:val="000000"/>
                <w:sz w:val="18"/>
              </w:rPr>
              <w:t xml:space="preserve">Total </w:t>
            </w:r>
            <w:r>
              <w:rPr>
                <w:rFonts w:ascii="Times New Roman;serif" w:hAnsi="Times New Roman;serif"/>
                <w:b w:val="false"/>
                <w:color w:val="000000"/>
                <w:sz w:val="12"/>
              </w:rPr>
              <w:t>(1)</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442,352 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459,767 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468,978 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excluding noncontrolling interests</w:t>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392,235 </w:t>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409,772 </w:t>
            </w:r>
          </w:p>
        </w:tc>
        <w:tc>
          <w:tcPr>
            <w:tcW w:w="2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422,595 </w:t>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net production volumes attributed to our noncontrolling partner in Egypt below:</w:t>
      </w:r>
    </w:p>
    <w:p>
      <w:pPr>
        <w:pStyle w:val="TextBody"/>
        <w:bidi w:val="0"/>
        <w:spacing w:before="0" w:after="0"/>
        <w:jc w:val="left"/>
        <w:rPr/>
      </w:pPr>
      <w:r>
        <w:rPr/>
      </w:r>
    </w:p>
    <w:tbl>
      <w:tblPr>
        <w:tblW w:w="6027" w:type="dxa"/>
        <w:jc w:val="left"/>
        <w:tblInd w:w="0" w:type="dxa"/>
        <w:tblLayout w:type="fixed"/>
        <w:tblCellMar>
          <w:top w:w="28" w:type="dxa"/>
          <w:left w:w="28" w:type="dxa"/>
          <w:bottom w:w="28" w:type="dxa"/>
          <w:right w:w="28" w:type="dxa"/>
        </w:tblCellMar>
      </w:tblPr>
      <w:tblGrid>
        <w:gridCol w:w="379"/>
        <w:gridCol w:w="333"/>
        <w:gridCol w:w="337"/>
        <w:gridCol w:w="368"/>
        <w:gridCol w:w="368"/>
        <w:gridCol w:w="109"/>
        <w:gridCol w:w="109"/>
        <w:gridCol w:w="109"/>
        <w:gridCol w:w="109"/>
        <w:gridCol w:w="368"/>
        <w:gridCol w:w="368"/>
        <w:gridCol w:w="109"/>
        <w:gridCol w:w="109"/>
        <w:gridCol w:w="109"/>
        <w:gridCol w:w="109"/>
        <w:gridCol w:w="368"/>
        <w:gridCol w:w="368"/>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(b/d)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(Mcf/d)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BOE per day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 Egypt Gross Production:</w:t>
      </w:r>
    </w:p>
    <w:p>
      <w:pPr>
        <w:pStyle w:val="TextBody"/>
        <w:bidi w:val="0"/>
        <w:spacing w:before="0" w:after="0"/>
        <w:jc w:val="left"/>
        <w:rPr/>
      </w:pPr>
      <w:r>
        <w:rPr/>
      </w:r>
    </w:p>
    <w:tbl>
      <w:tblPr>
        <w:tblW w:w="6027" w:type="dxa"/>
        <w:jc w:val="left"/>
        <w:tblInd w:w="0" w:type="dxa"/>
        <w:tblLayout w:type="fixed"/>
        <w:tblCellMar>
          <w:top w:w="28" w:type="dxa"/>
          <w:left w:w="28" w:type="dxa"/>
          <w:bottom w:w="28" w:type="dxa"/>
          <w:right w:w="28" w:type="dxa"/>
        </w:tblCellMar>
      </w:tblPr>
      <w:tblGrid>
        <w:gridCol w:w="379"/>
        <w:gridCol w:w="333"/>
        <w:gridCol w:w="337"/>
        <w:gridCol w:w="368"/>
        <w:gridCol w:w="368"/>
        <w:gridCol w:w="109"/>
        <w:gridCol w:w="109"/>
        <w:gridCol w:w="109"/>
        <w:gridCol w:w="109"/>
        <w:gridCol w:w="368"/>
        <w:gridCol w:w="368"/>
        <w:gridCol w:w="109"/>
        <w:gridCol w:w="109"/>
        <w:gridCol w:w="109"/>
        <w:gridCol w:w="109"/>
        <w:gridCol w:w="368"/>
        <w:gridCol w:w="368"/>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Oil (b/d)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Gas (Mcf/d)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BOE per day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ADJUSTED PRODUCTION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Adjusted production excludes certain items that management believes affect the comparability of operating results for the periods presented. Adjusted production excludes production attributable to 1) noncontrolling interest in Egypt and 2) Egypt tax barrels. Management uses adjusted production to evaluate the company’s operational trends and performance and believes it is useful to investors and other third parties.</w:t>
      </w:r>
    </w:p>
    <w:p>
      <w:pPr>
        <w:pStyle w:val="TextBody"/>
        <w:bidi w:val="0"/>
        <w:spacing w:before="0" w:after="0"/>
        <w:jc w:val="left"/>
        <w:rPr/>
      </w:pPr>
      <w:r>
        <w:rPr/>
      </w:r>
    </w:p>
    <w:tbl>
      <w:tblPr>
        <w:tblW w:w="10043" w:type="dxa"/>
        <w:jc w:val="left"/>
        <w:tblInd w:w="0" w:type="dxa"/>
        <w:tblLayout w:type="fixed"/>
        <w:tblCellMar>
          <w:top w:w="28" w:type="dxa"/>
          <w:left w:w="28" w:type="dxa"/>
          <w:bottom w:w="28" w:type="dxa"/>
          <w:right w:w="28" w:type="dxa"/>
        </w:tblCellMar>
      </w:tblPr>
      <w:tblGrid>
        <w:gridCol w:w="1227"/>
        <w:gridCol w:w="1078"/>
        <w:gridCol w:w="1085"/>
        <w:gridCol w:w="368"/>
        <w:gridCol w:w="368"/>
        <w:gridCol w:w="236"/>
        <w:gridCol w:w="109"/>
        <w:gridCol w:w="109"/>
        <w:gridCol w:w="109"/>
        <w:gridCol w:w="368"/>
        <w:gridCol w:w="368"/>
        <w:gridCol w:w="296"/>
        <w:gridCol w:w="109"/>
        <w:gridCol w:w="109"/>
        <w:gridCol w:w="109"/>
        <w:gridCol w:w="368"/>
        <w:gridCol w:w="368"/>
        <w:gridCol w:w="236"/>
        <w:gridCol w:w="109"/>
        <w:gridCol w:w="109"/>
        <w:gridCol w:w="109"/>
        <w:gridCol w:w="314"/>
        <w:gridCol w:w="314"/>
        <w:gridCol w:w="316"/>
        <w:gridCol w:w="109"/>
        <w:gridCol w:w="109"/>
        <w:gridCol w:w="109"/>
        <w:gridCol w:w="314"/>
        <w:gridCol w:w="314"/>
        <w:gridCol w:w="316"/>
        <w:gridCol w:w="109"/>
        <w:gridCol w:w="109"/>
        <w:gridCol w:w="109"/>
        <w:gridCol w:w="154"/>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1Q26 to 4Q25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1Q26 to 1Q25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OIL VOLUME - Barrels per day</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123,898 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132,001 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125,124 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45,863 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186,487 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200,608 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192,851 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NATURAL GAS VOLUME - Mcf per day</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413,975 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442,086 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574,736 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180,854 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187,859 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155,555 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31,606 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623,874 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659,708 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761,897 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NGL VOLUME - Barrels per day</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71,826 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75,370 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77,405 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72,977 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76,560 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78,549 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4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BOE per day</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264,720 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281,051 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298,319 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71,395 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77,173 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68,447 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31,618 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363,443 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387,119 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398,384 </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PRICE INFORMATION</w:t>
      </w:r>
    </w:p>
    <w:p>
      <w:pPr>
        <w:pStyle w:val="TextBody"/>
        <w:bidi w:val="0"/>
        <w:spacing w:before="0" w:after="0"/>
        <w:jc w:val="center"/>
        <w:rPr/>
      </w:pPr>
      <w:r>
        <w:rPr/>
      </w:r>
    </w:p>
    <w:tbl>
      <w:tblPr>
        <w:tblW w:w="7993" w:type="dxa"/>
        <w:jc w:val="left"/>
        <w:tblInd w:w="0" w:type="dxa"/>
        <w:tblLayout w:type="fixed"/>
        <w:tblCellMar>
          <w:top w:w="28" w:type="dxa"/>
          <w:left w:w="28" w:type="dxa"/>
          <w:bottom w:w="28" w:type="dxa"/>
          <w:right w:w="28" w:type="dxa"/>
        </w:tblCellMar>
      </w:tblPr>
      <w:tblGrid>
        <w:gridCol w:w="1406"/>
        <w:gridCol w:w="1237"/>
        <w:gridCol w:w="1241"/>
        <w:gridCol w:w="109"/>
        <w:gridCol w:w="109"/>
        <w:gridCol w:w="109"/>
        <w:gridCol w:w="333"/>
        <w:gridCol w:w="267"/>
        <w:gridCol w:w="273"/>
        <w:gridCol w:w="109"/>
        <w:gridCol w:w="109"/>
        <w:gridCol w:w="109"/>
        <w:gridCol w:w="419"/>
        <w:gridCol w:w="254"/>
        <w:gridCol w:w="257"/>
        <w:gridCol w:w="109"/>
        <w:gridCol w:w="109"/>
        <w:gridCol w:w="109"/>
        <w:gridCol w:w="333"/>
        <w:gridCol w:w="253"/>
        <w:gridCol w:w="258"/>
        <w:gridCol w:w="109"/>
        <w:gridCol w:w="109"/>
        <w:gridCol w:w="109"/>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color w:val="000000"/>
                <w:sz w:val="18"/>
              </w:rPr>
            </w:pPr>
            <w:r>
              <w:rPr>
                <w:rFonts w:ascii="Times New Roman;serif" w:hAnsi="Times New Roman;serif"/>
                <w:b/>
                <w:color w:val="000000"/>
                <w:sz w:val="18"/>
              </w:rPr>
              <w:t>AVERAGE OIL PRICE PER BARREL</w:t>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NATURAL GAS PRICE PER MCF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Egypt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AVERAGE NGL PRICE PER BARREL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Sea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FINANCIAL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tbl>
      <w:tblPr>
        <w:tblW w:w="7119" w:type="dxa"/>
        <w:jc w:val="center"/>
        <w:tblInd w:w="0" w:type="dxa"/>
        <w:tblLayout w:type="fixed"/>
        <w:tblCellMar>
          <w:top w:w="28" w:type="dxa"/>
          <w:left w:w="28" w:type="dxa"/>
          <w:bottom w:w="28" w:type="dxa"/>
          <w:right w:w="28" w:type="dxa"/>
        </w:tblCellMar>
      </w:tblPr>
      <w:tblGrid>
        <w:gridCol w:w="972"/>
        <w:gridCol w:w="853"/>
        <w:gridCol w:w="859"/>
        <w:gridCol w:w="463"/>
        <w:gridCol w:w="783"/>
        <w:gridCol w:w="257"/>
        <w:gridCol w:w="257"/>
        <w:gridCol w:w="257"/>
        <w:gridCol w:w="257"/>
        <w:gridCol w:w="463"/>
        <w:gridCol w:w="960"/>
        <w:gridCol w:w="257"/>
        <w:gridCol w:w="109"/>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EXPLORATION EXPENSE INFORMATION</w:t>
            </w:r>
          </w:p>
        </w:tc>
        <w:tc>
          <w:tcPr>
            <w:tcW w:w="481" w:type="dxa"/>
            <w:gridSpan w:val="4"/>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Unproved leasehold impairments</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Dry hole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Geological and geophysical expense</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overhead and other</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77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01"/>
        <w:gridCol w:w="1391"/>
        <w:gridCol w:w="1395"/>
        <w:gridCol w:w="399"/>
        <w:gridCol w:w="674"/>
        <w:gridCol w:w="221"/>
        <w:gridCol w:w="221"/>
        <w:gridCol w:w="221"/>
        <w:gridCol w:w="221"/>
        <w:gridCol w:w="416"/>
        <w:gridCol w:w="674"/>
        <w:gridCol w:w="221"/>
        <w:gridCol w:w="221"/>
        <w:gridCol w:w="221"/>
        <w:gridCol w:w="221"/>
        <w:gridCol w:w="399"/>
        <w:gridCol w:w="674"/>
        <w:gridCol w:w="221"/>
        <w:gridCol w:w="109"/>
        <w:gridCol w:w="109"/>
        <w:gridCol w:w="109"/>
        <w:gridCol w:w="166"/>
      </w:tblGrid>
      <w:tr>
        <w:trPr/>
        <w:tc>
          <w:tcPr>
            <w:tcW w:w="170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71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STOCK-SETTLED AND CASH-SETTLED EQUITY COMPENSATION INFORMATION</w:t>
            </w:r>
          </w:p>
        </w:tc>
        <w:tc>
          <w:tcPr>
            <w:tcW w:w="493" w:type="dxa"/>
            <w:gridSpan w:val="4"/>
            <w:tcBorders/>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Stock-settled and cash-settled compensation expensed:</w:t>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op w:val="single" w:sz="8" w:space="0" w:color="CCEEFF"/>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operating expenses</w:t>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stock-settled and cash-settled compensation expensed</w:t>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Stock-settled and cash-settled compensation capitalized</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Stock-settled and cash-settled compensation associated with abandonment and decommissioning</w:t>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stock-settled and cash-settled compensation costs</w:t>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66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0"/>
              <w:jc w:val="left"/>
              <w:rPr/>
            </w:pPr>
            <w:r>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SUPPLEMENTAL FINANCIAL INFORMATION</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tbl>
      <w:tblPr>
        <w:tblW w:w="8403" w:type="dxa"/>
        <w:jc w:val="center"/>
        <w:tblInd w:w="0" w:type="dxa"/>
        <w:tblLayout w:type="fixed"/>
        <w:tblCellMar>
          <w:top w:w="28" w:type="dxa"/>
          <w:left w:w="28" w:type="dxa"/>
          <w:bottom w:w="28" w:type="dxa"/>
          <w:right w:w="28" w:type="dxa"/>
        </w:tblCellMar>
      </w:tblPr>
      <w:tblGrid>
        <w:gridCol w:w="1751"/>
        <w:gridCol w:w="1533"/>
        <w:gridCol w:w="1545"/>
        <w:gridCol w:w="305"/>
        <w:gridCol w:w="772"/>
        <w:gridCol w:w="169"/>
        <w:gridCol w:w="169"/>
        <w:gridCol w:w="169"/>
        <w:gridCol w:w="169"/>
        <w:gridCol w:w="305"/>
        <w:gridCol w:w="866"/>
        <w:gridCol w:w="169"/>
        <w:gridCol w:w="109"/>
        <w:gridCol w:w="109"/>
        <w:gridCol w:w="109"/>
        <w:gridCol w:w="154"/>
      </w:tblGrid>
      <w:tr>
        <w:trPr/>
        <w:tc>
          <w:tcPr>
            <w:tcW w:w="1751"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0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4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2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CASH FLOW INFORMATION</w:t>
            </w:r>
          </w:p>
        </w:tc>
        <w:tc>
          <w:tcPr>
            <w:tcW w:w="481" w:type="dxa"/>
            <w:gridSpan w:val="4"/>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upstream oil and gas property</w:t>
            </w:r>
          </w:p>
        </w:tc>
        <w:tc>
          <w:tcPr>
            <w:tcW w:w="10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and property acquisitions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commercial paper and revolving credit facilities, net</w:t>
            </w:r>
          </w:p>
        </w:tc>
        <w:tc>
          <w:tcPr>
            <w:tcW w:w="10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term loan facility</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Fixed-rate debt borrowings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fixed-rate debt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activity, net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APA common stockholders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8454" w:type="dxa"/>
        <w:jc w:val="center"/>
        <w:tblInd w:w="0" w:type="dxa"/>
        <w:tblLayout w:type="fixed"/>
        <w:tblCellMar>
          <w:top w:w="28" w:type="dxa"/>
          <w:left w:w="28" w:type="dxa"/>
          <w:bottom w:w="28" w:type="dxa"/>
          <w:right w:w="28" w:type="dxa"/>
        </w:tblCellMar>
      </w:tblPr>
      <w:tblGrid>
        <w:gridCol w:w="1768"/>
        <w:gridCol w:w="1548"/>
        <w:gridCol w:w="1558"/>
        <w:gridCol w:w="309"/>
        <w:gridCol w:w="1018"/>
        <w:gridCol w:w="171"/>
        <w:gridCol w:w="171"/>
        <w:gridCol w:w="171"/>
        <w:gridCol w:w="171"/>
        <w:gridCol w:w="309"/>
        <w:gridCol w:w="1018"/>
        <w:gridCol w:w="242"/>
      </w:tblGrid>
      <w:tr>
        <w:trPr/>
        <w:tc>
          <w:tcPr>
            <w:tcW w:w="1768"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84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SUMMARY BALANCE SHEET INFORMATION</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487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Decommissioning security for sold Gulf of America properties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5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Decommissioning contingency for sold Gulf of America properties</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credits and other noncurrent liabilities</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APA shareholders’ equity</w:t>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17,761 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outstanding at end of period</w:t>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Costs incurred to Upstream capital investment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believes the presentation of upstream capital investments is useful for investors to assess APA’s expenditures related to our upstream capital activity. We define capital investments as costs incurred for oil and gas activities, adjusted to exclude property and leasehold acquisitions, asset retirement additions and revisions, capitalized interest, and certain exploration expenses. Upstream capital expenditures attributable to a one-third noncontrolling interest in Egypt are also excluded. Management believes this provides a more accurate reflection of APA’s cash expenditures related to upstream capital activity and is consistent with how we plan our capital budget.</w:t>
      </w:r>
    </w:p>
    <w:p>
      <w:pPr>
        <w:pStyle w:val="TextBody"/>
        <w:bidi w:val="0"/>
        <w:spacing w:before="0" w:after="0"/>
        <w:jc w:val="left"/>
        <w:rPr/>
      </w:pPr>
      <w:r>
        <w:rPr/>
      </w:r>
    </w:p>
    <w:tbl>
      <w:tblPr>
        <w:tblW w:w="7284" w:type="dxa"/>
        <w:jc w:val="left"/>
        <w:tblInd w:w="0" w:type="dxa"/>
        <w:tblLayout w:type="fixed"/>
        <w:tblCellMar>
          <w:top w:w="28" w:type="dxa"/>
          <w:left w:w="28" w:type="dxa"/>
          <w:bottom w:w="28" w:type="dxa"/>
          <w:right w:w="28" w:type="dxa"/>
        </w:tblCellMar>
      </w:tblPr>
      <w:tblGrid>
        <w:gridCol w:w="1820"/>
        <w:gridCol w:w="1595"/>
        <w:gridCol w:w="1609"/>
        <w:gridCol w:w="196"/>
        <w:gridCol w:w="421"/>
        <w:gridCol w:w="109"/>
        <w:gridCol w:w="109"/>
        <w:gridCol w:w="109"/>
        <w:gridCol w:w="109"/>
        <w:gridCol w:w="196"/>
        <w:gridCol w:w="421"/>
        <w:gridCol w:w="109"/>
        <w:gridCol w:w="109"/>
        <w:gridCol w:w="109"/>
        <w:gridCol w:w="109"/>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4"/>
              </w:rPr>
            </w:pPr>
            <w:r>
              <w:rPr>
                <w:rFonts w:ascii="Times New Roman;serif" w:hAnsi="Times New Roman;serif"/>
                <w:b/>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tLeast" w:line="196" w:before="0" w:after="0"/>
              <w:jc w:val="left"/>
              <w:rPr>
                <w:rFonts w:ascii="Times New Roman;serif" w:hAnsi="Times New Roman;serif"/>
                <w:b w:val="false"/>
                <w:color w:val="000000"/>
                <w:sz w:val="18"/>
              </w:rPr>
            </w:pPr>
            <w:r>
              <w:rPr>
                <w:rFonts w:ascii="Times New Roman;serif" w:hAnsi="Times New Roman;serif"/>
                <w:b w:val="false"/>
                <w:color w:val="000000"/>
                <w:sz w:val="18"/>
              </w:rPr>
              <w:t>Costs incurred in oil and gas property:</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and leasehold acquisitions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and development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incurred in oil and gas property</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Costs incurred to Upstream capital investment: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incurred in oil and gas property</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and leasehold acquisitions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retirement obligations incurred - oil and gas property</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interest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seismic and administration costs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 capital investment including noncontrolling interest - Egypt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 - Egypt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Upstream capital investment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Net cash provided by operating activities to Cash flows from operations before changes in operating assets and liabilities and Free cash flow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Cash flows from operations before changes in operating assets and liabilities and free cash flow are non-GAAP financial measures. APA uses these measures internally and provides this information because management believes it is useful in evaluating the company’s ability to generate cash to internally fund exploration and development activities, fund dividend programs, and service debt, as well as to compare our results from period to period. We believe these measures are also used by research analysts and investors to value and compare oil and gas exploration and production companies and are frequently included in published research reports when providing investment recommendations. Cash flows from operations before changes in operating assets and liabilities and free cash flow are additional measures of liquidity but are not measures of financial performance under GAAP and should not be considered as an alternative to cash flows from operating, investing, or financing activities. Additionally, this presentation of free cash flow may not be comparable to similar measures presented by other companies in our industry.</w:t>
      </w:r>
    </w:p>
    <w:p>
      <w:pPr>
        <w:pStyle w:val="TextBody"/>
        <w:bidi w:val="0"/>
        <w:spacing w:before="0" w:after="0"/>
        <w:jc w:val="left"/>
        <w:rPr/>
      </w:pPr>
      <w:r>
        <w:rPr/>
      </w:r>
    </w:p>
    <w:tbl>
      <w:tblPr>
        <w:tblW w:w="8065" w:type="dxa"/>
        <w:jc w:val="left"/>
        <w:tblInd w:w="0" w:type="dxa"/>
        <w:tblLayout w:type="fixed"/>
        <w:tblCellMar>
          <w:top w:w="28" w:type="dxa"/>
          <w:left w:w="28" w:type="dxa"/>
          <w:bottom w:w="28" w:type="dxa"/>
          <w:right w:w="28" w:type="dxa"/>
        </w:tblCellMar>
      </w:tblPr>
      <w:tblGrid>
        <w:gridCol w:w="2007"/>
        <w:gridCol w:w="1757"/>
        <w:gridCol w:w="1771"/>
        <w:gridCol w:w="196"/>
        <w:gridCol w:w="556"/>
        <w:gridCol w:w="109"/>
        <w:gridCol w:w="109"/>
        <w:gridCol w:w="109"/>
        <w:gridCol w:w="109"/>
        <w:gridCol w:w="196"/>
        <w:gridCol w:w="556"/>
        <w:gridCol w:w="109"/>
        <w:gridCol w:w="109"/>
        <w:gridCol w:w="109"/>
        <w:gridCol w:w="109"/>
        <w:gridCol w:w="154"/>
      </w:tblGrid>
      <w:tr>
        <w:trPr/>
        <w:tc>
          <w:tcPr>
            <w:tcW w:w="200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operations before changes in operating assets and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free cash flow:</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Upstream capital investment including noncontrolling interest - Egypt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Abandonment and decommissioning spend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acquisition and 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Sinopec noncontrolling interest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Free cash flow</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Net cash provided by operating activities to Adjusted EBITDAX</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believes EBITDAX, or earnings before income tax expense, interest expense, depreciation, amortization and exploration expense is a widely accepted financial indicator, and useful for investors, to assess a company’s ability to incur and service debt, fund capital expenditures, and make distributions to shareholders. We define adjusted EBITDAX, a non-GAAP financial measure, as EBITDAX adjusted for certain items presented in the accompanying reconciliation. Management uses adjusted EBITDAX to evaluate our ability to fund our capital expenditures, debt services and other operational requirements and to compare our results from period to period by eliminating the impact of certain items that management does not consider to be representative of the Company’s on-going operations. Management also believes adjusted EBITDAX facilitates investors and analysts in evaluating and comparing EBITDAX from period to period by eliminating differences caused by the existence and timing of certain operating expenses that would not otherwise be apparent on a GAAP basis. However, our presentation of adjusted EBITDAX may not be comparable to similar measures of other companies in our industry.</w:t>
      </w:r>
    </w:p>
    <w:p>
      <w:pPr>
        <w:pStyle w:val="TextBody"/>
        <w:bidi w:val="0"/>
        <w:spacing w:before="0" w:after="0"/>
        <w:jc w:val="left"/>
        <w:rPr/>
      </w:pPr>
      <w:r>
        <w:rPr/>
      </w:r>
    </w:p>
    <w:tbl>
      <w:tblPr>
        <w:tblW w:w="9936" w:type="dxa"/>
        <w:jc w:val="left"/>
        <w:tblInd w:w="0" w:type="dxa"/>
        <w:tblLayout w:type="fixed"/>
        <w:tblCellMar>
          <w:top w:w="28" w:type="dxa"/>
          <w:left w:w="28" w:type="dxa"/>
          <w:bottom w:w="28" w:type="dxa"/>
          <w:right w:w="28" w:type="dxa"/>
        </w:tblCellMar>
      </w:tblPr>
      <w:tblGrid>
        <w:gridCol w:w="2245"/>
        <w:gridCol w:w="1966"/>
        <w:gridCol w:w="1983"/>
        <w:gridCol w:w="196"/>
        <w:gridCol w:w="556"/>
        <w:gridCol w:w="109"/>
        <w:gridCol w:w="109"/>
        <w:gridCol w:w="109"/>
        <w:gridCol w:w="109"/>
        <w:gridCol w:w="201"/>
        <w:gridCol w:w="572"/>
        <w:gridCol w:w="112"/>
        <w:gridCol w:w="109"/>
        <w:gridCol w:w="109"/>
        <w:gridCol w:w="109"/>
        <w:gridCol w:w="196"/>
        <w:gridCol w:w="556"/>
        <w:gridCol w:w="109"/>
        <w:gridCol w:w="109"/>
        <w:gridCol w:w="109"/>
        <w:gridCol w:w="109"/>
        <w:gridCol w:w="154"/>
      </w:tblGrid>
      <w:tr>
        <w:trPr/>
        <w:tc>
          <w:tcPr>
            <w:tcW w:w="2245"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Exploration expense other than dry hole expense and unproved leasehold impairments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income tax provision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 to reconcile net income to net cash provided by operating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costs, net (excludes gain on extinguishment of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&amp; separation costs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EBITDAX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debt to net debt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Net debt, or outstanding debt obligations less cash and cash equivalents, is a non-GAAP financial measure. Management uses net debt as a measure of the Company’s outstanding debt obligations that would not be readily satisfied by its cash and cash equivalents on hand.</w:t>
      </w:r>
    </w:p>
    <w:p>
      <w:pPr>
        <w:pStyle w:val="TextBody"/>
        <w:bidi w:val="0"/>
        <w:spacing w:before="0" w:after="0"/>
        <w:jc w:val="left"/>
        <w:rPr/>
      </w:pPr>
      <w:r>
        <w:rPr/>
      </w:r>
    </w:p>
    <w:tbl>
      <w:tblPr>
        <w:tblW w:w="6541" w:type="dxa"/>
        <w:jc w:val="left"/>
        <w:tblInd w:w="0" w:type="dxa"/>
        <w:tblLayout w:type="fixed"/>
        <w:tblCellMar>
          <w:top w:w="28" w:type="dxa"/>
          <w:left w:w="28" w:type="dxa"/>
          <w:bottom w:w="28" w:type="dxa"/>
          <w:right w:w="28" w:type="dxa"/>
        </w:tblCellMar>
      </w:tblPr>
      <w:tblGrid>
        <w:gridCol w:w="716"/>
        <w:gridCol w:w="629"/>
        <w:gridCol w:w="634"/>
        <w:gridCol w:w="196"/>
        <w:gridCol w:w="556"/>
        <w:gridCol w:w="109"/>
        <w:gridCol w:w="109"/>
        <w:gridCol w:w="109"/>
        <w:gridCol w:w="109"/>
        <w:gridCol w:w="201"/>
        <w:gridCol w:w="572"/>
        <w:gridCol w:w="112"/>
        <w:gridCol w:w="109"/>
        <w:gridCol w:w="109"/>
        <w:gridCol w:w="109"/>
        <w:gridCol w:w="211"/>
        <w:gridCol w:w="601"/>
        <w:gridCol w:w="117"/>
        <w:gridCol w:w="109"/>
        <w:gridCol w:w="109"/>
        <w:gridCol w:w="109"/>
        <w:gridCol w:w="196"/>
        <w:gridCol w:w="55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979"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Debt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APA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STATEMENT OF CONSOLIDATED OPERATIONS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millions, except per share data)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u w:val="single"/>
        </w:rPr>
      </w:pPr>
      <w:r>
        <w:rPr>
          <w:rFonts w:ascii="Times New Roman;serif" w:hAnsi="Times New Roman;serif"/>
          <w:b/>
          <w:color w:val="000000"/>
          <w:sz w:val="18"/>
          <w:u w:val="single"/>
        </w:rPr>
        <w:t>Reconciliation of Income attributable to common stock to Adjusted earnings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presentation of adjusted earnings and adjusted earnings per share are non-GAAP measures because they exclude the effect of certain items included in Income Attributable to Common Stock. Management believes that adjusted earnings and adjusted earnings per share provides relevant and useful information, which is widely used by analysts, investors and competitors in our industry as well as by our management in assessing the Company’s operational trends and comparability of results to our peers.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uses adjusted earnings and adjusted earnings per share to evaluate our operating and financial performance because it eliminates the impact of certain items that management does not consider to be representative of the Company’s on-going business operations. As a performance measure, adjusted earnings may be useful to investors in facilitating comparisons to others in the Company’s industry because certain items can vary substantially in the oil and gas industry from company to company depending upon accounting methods, book value of assets, capital structure and asset sales and other divestitures, among other factors. Management believes excluding these items facilitates investors and analysts in evaluating and comparing the underlying operating and financial performance of our business from period to period by eliminating differences caused by the existence and timing of certain expense and income items that would not otherwise be apparent on a GAAP basis. However, our presentation of adjusted earnings and adjusted earnings per share may not be comparable to similar measures of other companies in our industry.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14"/>
        <w:gridCol w:w="598"/>
        <w:gridCol w:w="599"/>
        <w:gridCol w:w="196"/>
        <w:gridCol w:w="421"/>
        <w:gridCol w:w="109"/>
        <w:gridCol w:w="109"/>
        <w:gridCol w:w="109"/>
        <w:gridCol w:w="109"/>
        <w:gridCol w:w="196"/>
        <w:gridCol w:w="451"/>
        <w:gridCol w:w="109"/>
        <w:gridCol w:w="109"/>
        <w:gridCol w:w="109"/>
        <w:gridCol w:w="109"/>
        <w:gridCol w:w="196"/>
        <w:gridCol w:w="421"/>
        <w:gridCol w:w="109"/>
        <w:gridCol w:w="109"/>
        <w:gridCol w:w="109"/>
        <w:gridCol w:w="109"/>
        <w:gridCol w:w="196"/>
        <w:gridCol w:w="466"/>
        <w:gridCol w:w="109"/>
        <w:gridCol w:w="109"/>
        <w:gridCol w:w="109"/>
        <w:gridCol w:w="109"/>
        <w:gridCol w:w="196"/>
        <w:gridCol w:w="421"/>
        <w:gridCol w:w="109"/>
        <w:gridCol w:w="109"/>
        <w:gridCol w:w="109"/>
        <w:gridCol w:w="109"/>
        <w:gridCol w:w="196"/>
        <w:gridCol w:w="451"/>
        <w:gridCol w:w="109"/>
        <w:gridCol w:w="109"/>
        <w:gridCol w:w="109"/>
        <w:gridCol w:w="109"/>
        <w:gridCol w:w="196"/>
        <w:gridCol w:w="421"/>
        <w:gridCol w:w="109"/>
        <w:gridCol w:w="109"/>
        <w:gridCol w:w="109"/>
        <w:gridCol w:w="109"/>
        <w:gridCol w:w="196"/>
        <w:gridCol w:w="466"/>
        <w:gridCol w:w="156"/>
      </w:tblGrid>
      <w:tr>
        <w:trPr/>
        <w:tc>
          <w:tcPr>
            <w:tcW w:w="71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For the Quarter Ended</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2025</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Before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2"/>
              </w:rPr>
            </w:pPr>
            <w:r>
              <w:rPr>
                <w:rFonts w:ascii="Times New Roman;serif" w:hAnsi="Times New Roman;serif"/>
                <w:b/>
                <w:color w:val="000000"/>
                <w:sz w:val="12"/>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After</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Before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42" w:before="0" w:after="0"/>
              <w:jc w:val="center"/>
              <w:rPr>
                <w:rFonts w:ascii="Times New Roman;serif" w:hAnsi="Times New Roman;serif"/>
                <w:b/>
                <w:color w:val="000000"/>
                <w:sz w:val="12"/>
              </w:rPr>
            </w:pPr>
            <w:r>
              <w:rPr>
                <w:rFonts w:ascii="Times New Roman;serif" w:hAnsi="Times New Roman;serif"/>
                <w:b/>
                <w:color w:val="000000"/>
                <w:sz w:val="12"/>
              </w:rPr>
              <w:t>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After</w:t>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Diluted</w:t>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7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Tax</w:t>
            </w:r>
          </w:p>
        </w:tc>
        <w:tc>
          <w:tcPr>
            <w:tcW w:w="81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EPS</w:t>
            </w:r>
          </w:p>
        </w:tc>
      </w:tr>
      <w:tr>
        <w:trPr/>
        <w:tc>
          <w:tcPr>
            <w:tcW w:w="1911" w:type="dxa"/>
            <w:gridSpan w:val="3"/>
            <w:tcBorders>
              <w:top w:val="single" w:sz="8" w:space="0" w:color="CCEEFF"/>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including noncontrolling interests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CCEE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attributable to noncontrolling interests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and unproved leasehold impairments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 and EPL revaluation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extinguishment of debt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derivative instrument losses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 reorganization &amp; separation costs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divestitures,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(Non-GAAP)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6485" w:type="dxa"/>
            <w:gridSpan w:val="36"/>
            <w:tcBorders/>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6485" w:type="dxa"/>
            <w:gridSpan w:val="36"/>
            <w:tcBorders/>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5" w:type="dxa"/>
            <w:gridSpan w:val="6"/>
            <w:tcBorders/>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45" w:type="dxa"/>
            <w:gridSpan w:val="6"/>
            <w:tcBorders/>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191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erif" w:hAnsi="Times New Roman;serif"/>
          <w:b w:val="false"/>
          <w:color w:val="000000"/>
          <w:sz w:val="18"/>
        </w:rPr>
      </w:pPr>
      <w:r>
        <w:rPr>
          <w:rFonts w:ascii="Times New Roman;serif" w:hAnsi="Times New Roman;serif"/>
          <w:b w:val="false"/>
          <w:color w:val="000000"/>
          <w:sz w:val="18"/>
        </w:rPr>
        <w:t>*The income tax effect of the reconciling items are calculated based on the statutory rate of the jurisdiction in which the discrete item resides.</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Page 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4317</Words>
  <Characters>24080</Characters>
  <CharactersWithSpaces>27768</CharactersWithSpaces>
  <Paragraphs>1049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